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11B3F7C8" w14:textId="77777777" w:rsidR="00CE29E3" w:rsidRDefault="000119E0" w:rsidP="000119E0">
      <w:pPr>
        <w:jc w:val="both"/>
        <w:rPr>
          <w:rFonts w:eastAsia="Times New Roman"/>
          <w:i/>
        </w:rPr>
        <w:sectPr w:rsidR="00CE29E3" w:rsidSect="002227AE">
          <w:footerReference w:type="first" r:id="rId10"/>
          <w:pgSz w:w="12240" w:h="15840" w:code="1"/>
          <w:pgMar w:top="1440" w:right="1440" w:bottom="1440" w:left="1440" w:header="288" w:footer="792" w:gutter="0"/>
          <w:cols w:space="144"/>
          <w:titlePg/>
          <w:docGrid w:linePitch="360"/>
        </w:sect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p>
    <w:p w14:paraId="0F1DCD4B" w14:textId="6350ADD7" w:rsidR="006A4888" w:rsidRPr="006A4888" w:rsidRDefault="002A2DB3" w:rsidP="006A4888">
      <w:pPr>
        <w:rPr>
          <w:noProof/>
          <w:color w:val="000000" w:themeColor="text1"/>
          <w:lang w:val="en-GB"/>
        </w:rPr>
      </w:pPr>
      <w:r>
        <w:rPr>
          <w:sz w:val="28"/>
          <w:szCs w:val="28"/>
        </w:rPr>
        <w:lastRenderedPageBreak/>
        <w:t>Web Watch Service</w:t>
      </w:r>
    </w:p>
    <w:p w14:paraId="0CCE0EEF" w14:textId="3D432B09" w:rsidR="000119E0" w:rsidRDefault="002A2DB3" w:rsidP="000119E0">
      <w:pPr>
        <w:pStyle w:val="Heading2"/>
        <w:rPr>
          <w:lang w:val="en-US"/>
        </w:rPr>
      </w:pPr>
      <w:r>
        <w:rPr>
          <w:bCs w:val="0"/>
          <w:sz w:val="40"/>
          <w:szCs w:val="52"/>
        </w:rPr>
        <w:t>Safeguard your brand online</w:t>
      </w:r>
    </w:p>
    <w:p w14:paraId="4B15473C" w14:textId="0744AE72" w:rsidR="00D55FE0" w:rsidRPr="00D55FE0" w:rsidRDefault="00D55FE0" w:rsidP="00D55FE0">
      <w:pPr>
        <w:pStyle w:val="BodyText"/>
        <w:rPr>
          <w:rFonts w:asciiTheme="majorHAnsi" w:eastAsiaTheme="majorEastAsia" w:hAnsiTheme="majorHAnsi" w:cstheme="majorBidi"/>
          <w:b/>
          <w:bCs/>
          <w:sz w:val="24"/>
          <w:szCs w:val="26"/>
        </w:rPr>
      </w:pPr>
      <w:r w:rsidRPr="00D55FE0">
        <w:rPr>
          <w:rFonts w:asciiTheme="majorHAnsi" w:eastAsiaTheme="majorEastAsia" w:hAnsiTheme="majorHAnsi" w:cstheme="majorBidi"/>
          <w:b/>
          <w:bCs/>
          <w:sz w:val="24"/>
          <w:szCs w:val="26"/>
        </w:rPr>
        <w:t xml:space="preserve">All </w:t>
      </w:r>
      <w:proofErr w:type="gramStart"/>
      <w:r w:rsidR="00373226" w:rsidRPr="00D55FE0">
        <w:rPr>
          <w:rFonts w:asciiTheme="majorHAnsi" w:eastAsiaTheme="majorEastAsia" w:hAnsiTheme="majorHAnsi" w:cstheme="majorBidi"/>
          <w:b/>
          <w:bCs/>
          <w:sz w:val="24"/>
          <w:szCs w:val="26"/>
        </w:rPr>
        <w:t>hands</w:t>
      </w:r>
      <w:r w:rsidR="00373226">
        <w:rPr>
          <w:rFonts w:asciiTheme="majorHAnsi" w:eastAsiaTheme="majorEastAsia" w:hAnsiTheme="majorHAnsi" w:cstheme="majorBidi"/>
          <w:b/>
          <w:bCs/>
          <w:sz w:val="24"/>
          <w:szCs w:val="26"/>
        </w:rPr>
        <w:t xml:space="preserve"> </w:t>
      </w:r>
      <w:r w:rsidR="00373226" w:rsidRPr="00D55FE0">
        <w:rPr>
          <w:rFonts w:asciiTheme="majorHAnsi" w:eastAsiaTheme="majorEastAsia" w:hAnsiTheme="majorHAnsi" w:cstheme="majorBidi"/>
          <w:b/>
          <w:bCs/>
          <w:sz w:val="24"/>
          <w:szCs w:val="26"/>
        </w:rPr>
        <w:t>on</w:t>
      </w:r>
      <w:proofErr w:type="gramEnd"/>
      <w:r w:rsidRPr="00D55FE0">
        <w:rPr>
          <w:rFonts w:asciiTheme="majorHAnsi" w:eastAsiaTheme="majorEastAsia" w:hAnsiTheme="majorHAnsi" w:cstheme="majorBidi"/>
          <w:b/>
          <w:bCs/>
          <w:sz w:val="24"/>
          <w:szCs w:val="26"/>
        </w:rPr>
        <w:t xml:space="preserve"> web for brand protection</w:t>
      </w:r>
    </w:p>
    <w:p w14:paraId="2862CDAD" w14:textId="2C0E7082" w:rsidR="00D55FE0" w:rsidRPr="00D55FE0" w:rsidRDefault="00D55FE0" w:rsidP="00D55FE0">
      <w:pPr>
        <w:pStyle w:val="BodyText"/>
        <w:spacing w:after="0"/>
      </w:pPr>
      <w:r w:rsidRPr="00D55FE0">
        <w:t>The Internet and new online media have made our world more interconnected than ever before. While this presents tremendous opportunities, it also increases the need for online brand protection.</w:t>
      </w:r>
    </w:p>
    <w:p w14:paraId="71791ECA" w14:textId="77777777" w:rsidR="00D55FE0" w:rsidRPr="00D55FE0" w:rsidRDefault="00D55FE0" w:rsidP="00D55FE0">
      <w:pPr>
        <w:pStyle w:val="BodyText"/>
        <w:spacing w:after="0"/>
      </w:pPr>
    </w:p>
    <w:p w14:paraId="06CE18A2" w14:textId="4E9F2D62" w:rsidR="0026060D" w:rsidRPr="00D55FE0" w:rsidRDefault="00D55FE0" w:rsidP="00D55FE0">
      <w:pPr>
        <w:pStyle w:val="BodyText"/>
        <w:spacing w:after="0"/>
      </w:pPr>
      <w:r w:rsidRPr="00D55FE0">
        <w:t xml:space="preserve">Watching the </w:t>
      </w:r>
      <w:r w:rsidRPr="00D55FE0">
        <w:rPr>
          <w:i/>
        </w:rPr>
        <w:t>World Wide Web</w:t>
      </w:r>
      <w:r w:rsidRPr="00D55FE0">
        <w:t xml:space="preserve"> can answer that need. And give you more insight in how your brand is presented online. A monumental or expensive challenge? Not anymore</w:t>
      </w:r>
    </w:p>
    <w:p w14:paraId="11D6F5D6" w14:textId="77777777" w:rsidR="00D55FE0" w:rsidRDefault="00D55FE0" w:rsidP="005E10D8">
      <w:pPr>
        <w:pStyle w:val="BodyText"/>
        <w:rPr>
          <w:rFonts w:asciiTheme="majorHAnsi" w:eastAsiaTheme="majorEastAsia" w:hAnsiTheme="majorHAnsi" w:cstheme="majorBidi"/>
          <w:b/>
          <w:bCs/>
          <w:sz w:val="24"/>
          <w:szCs w:val="26"/>
        </w:rPr>
      </w:pPr>
    </w:p>
    <w:p w14:paraId="4BBD8DC7" w14:textId="77777777" w:rsidR="008475C4" w:rsidRDefault="008475C4" w:rsidP="005E10D8">
      <w:pPr>
        <w:pStyle w:val="BodyText"/>
        <w:spacing w:after="0"/>
        <w:rPr>
          <w:rFonts w:asciiTheme="majorHAnsi" w:eastAsiaTheme="majorEastAsia" w:hAnsiTheme="majorHAnsi" w:cstheme="majorBidi"/>
          <w:b/>
          <w:bCs/>
          <w:sz w:val="24"/>
          <w:szCs w:val="26"/>
        </w:rPr>
      </w:pPr>
      <w:r w:rsidRPr="008475C4">
        <w:rPr>
          <w:rFonts w:asciiTheme="majorHAnsi" w:eastAsiaTheme="majorEastAsia" w:hAnsiTheme="majorHAnsi" w:cstheme="majorBidi"/>
          <w:b/>
          <w:bCs/>
          <w:sz w:val="24"/>
          <w:szCs w:val="26"/>
        </w:rPr>
        <w:t>Web Watch: low-cost and time-saving</w:t>
      </w:r>
    </w:p>
    <w:p w14:paraId="463ECA68" w14:textId="022B8959" w:rsidR="005E10D8" w:rsidRPr="005E10D8" w:rsidRDefault="005E10D8" w:rsidP="005E10D8">
      <w:pPr>
        <w:pStyle w:val="BodyText"/>
        <w:spacing w:after="0"/>
        <w:rPr>
          <w:lang w:val="en-US"/>
        </w:rPr>
      </w:pPr>
      <w:r w:rsidRPr="005E10D8">
        <w:rPr>
          <w:lang w:val="en-US"/>
        </w:rPr>
        <w:t xml:space="preserve">Make confident risk assessments based on quality data. </w:t>
      </w:r>
      <w:r w:rsidR="007457C3">
        <w:rPr>
          <w:lang w:val="en-US"/>
        </w:rPr>
        <w:t xml:space="preserve">We use </w:t>
      </w:r>
      <w:r w:rsidR="007A5131">
        <w:rPr>
          <w:lang w:val="en-US"/>
        </w:rPr>
        <w:t>CompuMark’s</w:t>
      </w:r>
      <w:r w:rsidRPr="005E10D8">
        <w:rPr>
          <w:lang w:val="en-US"/>
        </w:rPr>
        <w:t xml:space="preserve"> dedicated quality</w:t>
      </w:r>
      <w:r>
        <w:rPr>
          <w:lang w:val="en-US"/>
        </w:rPr>
        <w:t xml:space="preserve"> </w:t>
      </w:r>
      <w:r w:rsidRPr="005E10D8">
        <w:rPr>
          <w:lang w:val="en-US"/>
        </w:rPr>
        <w:t>team reviews data from trademark sources worldwide to identify and correct errors, so you can act with certainty.</w:t>
      </w:r>
    </w:p>
    <w:p w14:paraId="261D74B1" w14:textId="77777777" w:rsidR="003C0ED1" w:rsidRDefault="003C0ED1" w:rsidP="00E131D3">
      <w:pPr>
        <w:pStyle w:val="BodyText"/>
        <w:spacing w:after="0"/>
        <w:rPr>
          <w:lang w:val="en-US"/>
        </w:rPr>
      </w:pPr>
    </w:p>
    <w:p w14:paraId="5C1C5A12" w14:textId="5EF9E935" w:rsidR="003C0ED1" w:rsidRDefault="003C0ED1" w:rsidP="003C0ED1">
      <w:pPr>
        <w:pStyle w:val="BodyText"/>
        <w:spacing w:after="0"/>
      </w:pPr>
      <w:r>
        <w:t xml:space="preserve">We won’t waste your time with endless hit lists. Our value is in delivering actionable reports that contain the results that matter to you most. </w:t>
      </w:r>
      <w:r w:rsidR="006A4012">
        <w:t>So,</w:t>
      </w:r>
      <w:r>
        <w:t xml:space="preserve"> you can make confident </w:t>
      </w:r>
      <w:r w:rsidR="00373226">
        <w:t>decisions quickly</w:t>
      </w:r>
      <w:r>
        <w:t xml:space="preserve"> and inexpensively and address issues related to online brand infringement, like:</w:t>
      </w:r>
    </w:p>
    <w:p w14:paraId="052311FA" w14:textId="77777777" w:rsidR="003C0ED1" w:rsidRDefault="003C0ED1" w:rsidP="003C0ED1">
      <w:pPr>
        <w:pStyle w:val="BodyText"/>
        <w:spacing w:after="0"/>
      </w:pPr>
    </w:p>
    <w:p w14:paraId="28D89766" w14:textId="06083D44" w:rsidR="003C0ED1" w:rsidRPr="003C0ED1" w:rsidRDefault="003C0ED1" w:rsidP="00846BAB">
      <w:pPr>
        <w:pStyle w:val="BodyText"/>
        <w:numPr>
          <w:ilvl w:val="0"/>
          <w:numId w:val="9"/>
        </w:numPr>
        <w:rPr>
          <w:b/>
        </w:rPr>
      </w:pPr>
      <w:r w:rsidRPr="003C0ED1">
        <w:rPr>
          <w:b/>
        </w:rPr>
        <w:t>Misuse</w:t>
      </w:r>
    </w:p>
    <w:p w14:paraId="6D0ABB9F" w14:textId="7847E26B" w:rsidR="003C0ED1" w:rsidRDefault="003C0ED1" w:rsidP="00846BAB">
      <w:pPr>
        <w:pStyle w:val="BodyText"/>
        <w:ind w:left="720"/>
      </w:pPr>
      <w:r>
        <w:t>Is your brand used generically (missing ©, ® or ™) or descriptively?</w:t>
      </w:r>
    </w:p>
    <w:p w14:paraId="5379EF0F" w14:textId="6D8B662C" w:rsidR="003C0ED1" w:rsidRDefault="003C0ED1" w:rsidP="00846BAB">
      <w:pPr>
        <w:pStyle w:val="BodyText"/>
        <w:numPr>
          <w:ilvl w:val="0"/>
          <w:numId w:val="9"/>
        </w:numPr>
      </w:pPr>
      <w:r w:rsidRPr="003C0ED1">
        <w:rPr>
          <w:b/>
        </w:rPr>
        <w:t>Brand identity / derogatory remarks</w:t>
      </w:r>
      <w:r>
        <w:t xml:space="preserve"> </w:t>
      </w:r>
      <w:r>
        <w:br/>
        <w:t>Is your brand being mentioned in a positive or negative fashion or context?</w:t>
      </w:r>
    </w:p>
    <w:p w14:paraId="5A750ED4" w14:textId="5C19590B" w:rsidR="003C0ED1" w:rsidRPr="003C0ED1" w:rsidRDefault="003C0ED1" w:rsidP="00846BAB">
      <w:pPr>
        <w:pStyle w:val="BodyText"/>
        <w:numPr>
          <w:ilvl w:val="0"/>
          <w:numId w:val="9"/>
        </w:numPr>
        <w:rPr>
          <w:b/>
        </w:rPr>
      </w:pPr>
      <w:r w:rsidRPr="003C0ED1">
        <w:rPr>
          <w:b/>
        </w:rPr>
        <w:t>Unlicensed use</w:t>
      </w:r>
    </w:p>
    <w:p w14:paraId="31336735" w14:textId="6A3E3EE4" w:rsidR="003C0ED1" w:rsidRDefault="003C0ED1" w:rsidP="00846BAB">
      <w:pPr>
        <w:pStyle w:val="BodyText"/>
        <w:ind w:left="720"/>
      </w:pPr>
      <w:r>
        <w:t>Is there any unlicensed mention or sale of your brand? (Can include auction and “store fronts”.)</w:t>
      </w:r>
    </w:p>
    <w:p w14:paraId="4FFE2F00" w14:textId="18B6A061" w:rsidR="003C0ED1" w:rsidRPr="003C0ED1" w:rsidRDefault="003C0ED1" w:rsidP="00846BAB">
      <w:pPr>
        <w:pStyle w:val="BodyText"/>
        <w:numPr>
          <w:ilvl w:val="0"/>
          <w:numId w:val="9"/>
        </w:numPr>
        <w:rPr>
          <w:b/>
        </w:rPr>
      </w:pPr>
      <w:r w:rsidRPr="003C0ED1">
        <w:rPr>
          <w:b/>
        </w:rPr>
        <w:t>Confusing similarity</w:t>
      </w:r>
    </w:p>
    <w:p w14:paraId="655DDFF3" w14:textId="77777777" w:rsidR="003C0ED1" w:rsidRDefault="003C0ED1" w:rsidP="00846BAB">
      <w:pPr>
        <w:pStyle w:val="BodyText"/>
        <w:ind w:left="720"/>
      </w:pPr>
      <w:r>
        <w:t>Are there similar brands in the same channel of trade? (Can include parody-use.)</w:t>
      </w:r>
    </w:p>
    <w:p w14:paraId="5D655C05" w14:textId="77777777" w:rsidR="003C0ED1" w:rsidRDefault="003C0ED1" w:rsidP="003C0ED1">
      <w:pPr>
        <w:pStyle w:val="BodyText"/>
        <w:spacing w:after="0"/>
      </w:pPr>
    </w:p>
    <w:p w14:paraId="64375FD4" w14:textId="77777777" w:rsidR="003C0ED1" w:rsidRDefault="003C0ED1" w:rsidP="003C0ED1">
      <w:pPr>
        <w:pStyle w:val="BodyText"/>
        <w:spacing w:after="0"/>
      </w:pPr>
      <w:r>
        <w:t>Plenty of reasons why Web Watch deserves to be a key element of your brand protection strategy</w:t>
      </w:r>
      <w:r w:rsidR="00B362A5">
        <w:t>.</w:t>
      </w:r>
    </w:p>
    <w:p w14:paraId="6515FCE0" w14:textId="77777777" w:rsidR="00B362A5" w:rsidRDefault="00B362A5" w:rsidP="003C0ED1">
      <w:pPr>
        <w:pStyle w:val="BodyText"/>
        <w:spacing w:after="0"/>
      </w:pPr>
    </w:p>
    <w:p w14:paraId="17930F7E" w14:textId="4D2415BC" w:rsidR="00B362A5" w:rsidRDefault="00B362A5" w:rsidP="00B362A5">
      <w:pPr>
        <w:pStyle w:val="BodyText"/>
        <w:spacing w:after="0"/>
        <w:rPr>
          <w:rFonts w:asciiTheme="majorHAnsi" w:eastAsiaTheme="majorEastAsia" w:hAnsiTheme="majorHAnsi" w:cstheme="majorBidi"/>
          <w:b/>
          <w:bCs/>
          <w:sz w:val="24"/>
          <w:szCs w:val="26"/>
        </w:rPr>
      </w:pPr>
      <w:r w:rsidRPr="008475C4">
        <w:rPr>
          <w:rFonts w:asciiTheme="majorHAnsi" w:eastAsiaTheme="majorEastAsia" w:hAnsiTheme="majorHAnsi" w:cstheme="majorBidi"/>
          <w:b/>
          <w:bCs/>
          <w:sz w:val="24"/>
          <w:szCs w:val="26"/>
        </w:rPr>
        <w:t>Web Watch</w:t>
      </w:r>
      <w:r>
        <w:rPr>
          <w:rFonts w:asciiTheme="majorHAnsi" w:eastAsiaTheme="majorEastAsia" w:hAnsiTheme="majorHAnsi" w:cstheme="majorBidi"/>
          <w:b/>
          <w:bCs/>
          <w:sz w:val="24"/>
          <w:szCs w:val="26"/>
        </w:rPr>
        <w:t xml:space="preserve"> checklist</w:t>
      </w:r>
    </w:p>
    <w:p w14:paraId="5229F060" w14:textId="4B682415" w:rsidR="00127067" w:rsidRPr="00127067" w:rsidRDefault="00127067" w:rsidP="00127067">
      <w:pPr>
        <w:pStyle w:val="BodyText"/>
        <w:numPr>
          <w:ilvl w:val="0"/>
          <w:numId w:val="9"/>
        </w:numPr>
        <w:rPr>
          <w:lang w:val="en-US"/>
        </w:rPr>
      </w:pPr>
      <w:r w:rsidRPr="00127067">
        <w:rPr>
          <w:lang w:val="en-US"/>
        </w:rPr>
        <w:t>Low cost</w:t>
      </w:r>
    </w:p>
    <w:p w14:paraId="2DF785AB" w14:textId="41E1A29F" w:rsidR="00127067" w:rsidRPr="00127067" w:rsidRDefault="00127067" w:rsidP="00127067">
      <w:pPr>
        <w:pStyle w:val="BodyText"/>
        <w:numPr>
          <w:ilvl w:val="0"/>
          <w:numId w:val="9"/>
        </w:numPr>
        <w:rPr>
          <w:lang w:val="en-US"/>
        </w:rPr>
      </w:pPr>
      <w:r w:rsidRPr="00127067">
        <w:rPr>
          <w:lang w:val="en-US"/>
        </w:rPr>
        <w:t>Customizable strategy</w:t>
      </w:r>
    </w:p>
    <w:p w14:paraId="397CC126" w14:textId="13B868B0" w:rsidR="00127067" w:rsidRPr="00127067" w:rsidRDefault="00127067" w:rsidP="00127067">
      <w:pPr>
        <w:pStyle w:val="BodyText"/>
        <w:numPr>
          <w:ilvl w:val="0"/>
          <w:numId w:val="9"/>
        </w:numPr>
        <w:rPr>
          <w:lang w:val="en-US"/>
        </w:rPr>
      </w:pPr>
      <w:r w:rsidRPr="00127067">
        <w:rPr>
          <w:lang w:val="en-US"/>
        </w:rPr>
        <w:t>Monthly reports</w:t>
      </w:r>
    </w:p>
    <w:p w14:paraId="020AA6B3" w14:textId="018F16B2" w:rsidR="00127067" w:rsidRPr="00127067" w:rsidRDefault="00127067" w:rsidP="00127067">
      <w:pPr>
        <w:pStyle w:val="BodyText"/>
        <w:numPr>
          <w:ilvl w:val="0"/>
          <w:numId w:val="9"/>
        </w:numPr>
        <w:rPr>
          <w:lang w:val="en-US"/>
        </w:rPr>
      </w:pPr>
      <w:r w:rsidRPr="00127067">
        <w:rPr>
          <w:lang w:val="en-US"/>
        </w:rPr>
        <w:t>Easy review</w:t>
      </w:r>
    </w:p>
    <w:p w14:paraId="1A62608E" w14:textId="176A1A6D" w:rsidR="00127067" w:rsidRDefault="00127067" w:rsidP="00127067">
      <w:pPr>
        <w:pStyle w:val="BodyText"/>
        <w:numPr>
          <w:ilvl w:val="0"/>
          <w:numId w:val="9"/>
        </w:numPr>
        <w:rPr>
          <w:lang w:val="en-US"/>
        </w:rPr>
      </w:pPr>
      <w:r w:rsidRPr="00127067">
        <w:rPr>
          <w:lang w:val="en-US"/>
        </w:rPr>
        <w:t>Quick insight</w:t>
      </w:r>
    </w:p>
    <w:p w14:paraId="7E47729F" w14:textId="6DC98CD6" w:rsidR="00127067" w:rsidRDefault="00127067" w:rsidP="00127067">
      <w:pPr>
        <w:pStyle w:val="BodyText"/>
        <w:rPr>
          <w:lang w:val="en-US"/>
        </w:rPr>
      </w:pPr>
    </w:p>
    <w:p w14:paraId="5F892DF2" w14:textId="77777777" w:rsidR="00462677" w:rsidRDefault="00462677" w:rsidP="00127067">
      <w:pPr>
        <w:pStyle w:val="BodyText"/>
        <w:spacing w:after="0"/>
        <w:rPr>
          <w:rFonts w:asciiTheme="majorHAnsi" w:eastAsiaTheme="majorEastAsia" w:hAnsiTheme="majorHAnsi" w:cstheme="majorBidi"/>
          <w:b/>
          <w:bCs/>
          <w:sz w:val="24"/>
          <w:szCs w:val="26"/>
        </w:rPr>
        <w:sectPr w:rsidR="00462677" w:rsidSect="002227AE">
          <w:footerReference w:type="first" r:id="rId11"/>
          <w:pgSz w:w="12240" w:h="15840" w:code="1"/>
          <w:pgMar w:top="1440" w:right="1440" w:bottom="1440" w:left="1440" w:header="288" w:footer="792" w:gutter="0"/>
          <w:cols w:space="144"/>
          <w:titlePg/>
          <w:docGrid w:linePitch="360"/>
        </w:sectPr>
      </w:pPr>
    </w:p>
    <w:p w14:paraId="1E7D70FE" w14:textId="4FC1F963" w:rsidR="00127067" w:rsidRDefault="00127067" w:rsidP="00127067">
      <w:pPr>
        <w:pStyle w:val="BodyText"/>
        <w:spacing w:after="0"/>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lastRenderedPageBreak/>
        <w:t xml:space="preserve">Why Web Watch with </w:t>
      </w:r>
      <w:r w:rsidRPr="00127067">
        <w:rPr>
          <w:rFonts w:asciiTheme="majorHAnsi" w:eastAsiaTheme="majorEastAsia" w:hAnsiTheme="majorHAnsi" w:cstheme="majorBidi"/>
          <w:b/>
          <w:bCs/>
          <w:color w:val="FF0000"/>
          <w:sz w:val="24"/>
          <w:szCs w:val="26"/>
        </w:rPr>
        <w:t xml:space="preserve">[Insert Firm Name] </w:t>
      </w:r>
      <w:r>
        <w:rPr>
          <w:rFonts w:asciiTheme="majorHAnsi" w:eastAsiaTheme="majorEastAsia" w:hAnsiTheme="majorHAnsi" w:cstheme="majorBidi"/>
          <w:b/>
          <w:bCs/>
          <w:sz w:val="24"/>
          <w:szCs w:val="26"/>
        </w:rPr>
        <w:t>powered by CompuMark?</w:t>
      </w:r>
    </w:p>
    <w:p w14:paraId="59A5389C" w14:textId="5A22E016" w:rsidR="00373226" w:rsidRPr="00373226" w:rsidRDefault="00373226" w:rsidP="00373226">
      <w:pPr>
        <w:pStyle w:val="BodyText"/>
        <w:spacing w:after="0"/>
        <w:rPr>
          <w:lang w:val="en-US"/>
        </w:rPr>
      </w:pPr>
      <w:r w:rsidRPr="00373226">
        <w:rPr>
          <w:lang w:val="en-US"/>
        </w:rPr>
        <w:t xml:space="preserve">Of course, there is the low cost and the fact that </w:t>
      </w:r>
      <w:r>
        <w:rPr>
          <w:lang w:val="en-US"/>
        </w:rPr>
        <w:t>CompuMark</w:t>
      </w:r>
      <w:r w:rsidRPr="00373226">
        <w:rPr>
          <w:lang w:val="en-US"/>
        </w:rPr>
        <w:t xml:space="preserve"> Web specialists have an average of 18 years’ experience in trademark research. But there is more:</w:t>
      </w:r>
    </w:p>
    <w:p w14:paraId="3279A3D2" w14:textId="77777777" w:rsidR="00373226" w:rsidRPr="00373226" w:rsidRDefault="00373226" w:rsidP="00373226">
      <w:pPr>
        <w:pStyle w:val="BodyText"/>
        <w:spacing w:after="0"/>
        <w:rPr>
          <w:lang w:val="en-US"/>
        </w:rPr>
      </w:pPr>
    </w:p>
    <w:p w14:paraId="7F8E7F62" w14:textId="21F94578" w:rsidR="00373226" w:rsidRPr="00373226" w:rsidRDefault="00373226" w:rsidP="00373226">
      <w:pPr>
        <w:pStyle w:val="BodyText"/>
        <w:numPr>
          <w:ilvl w:val="0"/>
          <w:numId w:val="10"/>
        </w:numPr>
        <w:spacing w:after="0"/>
        <w:rPr>
          <w:b/>
          <w:lang w:val="en-US"/>
        </w:rPr>
      </w:pPr>
      <w:r w:rsidRPr="00373226">
        <w:rPr>
          <w:b/>
          <w:lang w:val="en-US"/>
        </w:rPr>
        <w:t>Customized strategies</w:t>
      </w:r>
    </w:p>
    <w:p w14:paraId="18B9D97A" w14:textId="77777777" w:rsidR="00373226" w:rsidRPr="00373226" w:rsidRDefault="00373226" w:rsidP="00373226">
      <w:pPr>
        <w:pStyle w:val="BodyText"/>
        <w:spacing w:after="0"/>
        <w:ind w:left="720"/>
        <w:rPr>
          <w:lang w:val="en-US"/>
        </w:rPr>
      </w:pPr>
      <w:r w:rsidRPr="00373226">
        <w:rPr>
          <w:lang w:val="en-US"/>
        </w:rPr>
        <w:t>Every brand has its own, unique character. That’s why before starting, we discuss strategy with you to craft monitoring criteria that best meet your needs.</w:t>
      </w:r>
    </w:p>
    <w:p w14:paraId="2CD8CF00" w14:textId="40B61E0F" w:rsidR="00373226" w:rsidRPr="00373226" w:rsidRDefault="00373226" w:rsidP="00373226">
      <w:pPr>
        <w:pStyle w:val="BodyText"/>
        <w:spacing w:after="0"/>
        <w:ind w:firstLine="45"/>
        <w:rPr>
          <w:lang w:val="en-US"/>
        </w:rPr>
      </w:pPr>
    </w:p>
    <w:p w14:paraId="1489F6E3" w14:textId="328C8793" w:rsidR="00373226" w:rsidRPr="00373226" w:rsidRDefault="00373226" w:rsidP="00373226">
      <w:pPr>
        <w:pStyle w:val="BodyText"/>
        <w:numPr>
          <w:ilvl w:val="0"/>
          <w:numId w:val="10"/>
        </w:numPr>
        <w:spacing w:after="0"/>
        <w:rPr>
          <w:b/>
          <w:lang w:val="en-US"/>
        </w:rPr>
      </w:pPr>
      <w:r w:rsidRPr="00373226">
        <w:rPr>
          <w:b/>
          <w:lang w:val="en-US"/>
        </w:rPr>
        <w:t>Top-notch research and selection</w:t>
      </w:r>
    </w:p>
    <w:p w14:paraId="0BD12BAC" w14:textId="12F80006" w:rsidR="00373226" w:rsidRPr="00373226" w:rsidRDefault="00373226" w:rsidP="00373226">
      <w:pPr>
        <w:pStyle w:val="BodyText"/>
        <w:spacing w:after="0"/>
        <w:ind w:left="720"/>
        <w:rPr>
          <w:lang w:val="en-US"/>
        </w:rPr>
      </w:pPr>
      <w:r w:rsidRPr="00373226">
        <w:rPr>
          <w:lang w:val="en-US"/>
        </w:rPr>
        <w:t xml:space="preserve">Sure, we use search engines like everyone does. But we combine it with the talents of </w:t>
      </w:r>
      <w:r w:rsidR="00055AE4">
        <w:rPr>
          <w:lang w:val="en-US"/>
        </w:rPr>
        <w:t>CompuMark’s</w:t>
      </w:r>
      <w:r w:rsidRPr="00373226">
        <w:rPr>
          <w:lang w:val="en-US"/>
        </w:rPr>
        <w:t xml:space="preserve"> analysts who select the most relevant hits and websites for your brand.</w:t>
      </w:r>
    </w:p>
    <w:p w14:paraId="72852AB7" w14:textId="77777777" w:rsidR="00373226" w:rsidRPr="00373226" w:rsidRDefault="00373226" w:rsidP="00373226">
      <w:pPr>
        <w:pStyle w:val="BodyText"/>
        <w:spacing w:after="0"/>
        <w:rPr>
          <w:lang w:val="en-US"/>
        </w:rPr>
      </w:pPr>
    </w:p>
    <w:p w14:paraId="79C4A863" w14:textId="4BE6E6AE" w:rsidR="00373226" w:rsidRPr="00373226" w:rsidRDefault="00373226" w:rsidP="00373226">
      <w:pPr>
        <w:pStyle w:val="BodyText"/>
        <w:numPr>
          <w:ilvl w:val="0"/>
          <w:numId w:val="10"/>
        </w:numPr>
        <w:spacing w:after="0"/>
        <w:rPr>
          <w:b/>
          <w:lang w:val="en-US"/>
        </w:rPr>
      </w:pPr>
      <w:r w:rsidRPr="00373226">
        <w:rPr>
          <w:b/>
          <w:lang w:val="en-US"/>
        </w:rPr>
        <w:t>Clear, concise reports</w:t>
      </w:r>
    </w:p>
    <w:p w14:paraId="087CCC30" w14:textId="77777777" w:rsidR="00373226" w:rsidRPr="00373226" w:rsidRDefault="00373226" w:rsidP="00373226">
      <w:pPr>
        <w:pStyle w:val="BodyText"/>
        <w:spacing w:after="0"/>
        <w:ind w:left="720"/>
        <w:rPr>
          <w:lang w:val="en-US"/>
        </w:rPr>
      </w:pPr>
      <w:r w:rsidRPr="00373226">
        <w:rPr>
          <w:lang w:val="en-US"/>
        </w:rPr>
        <w:t>Our monthly reports include word and design marks with screenshots of and live links to the identified websites. When available, we also provide WHOIS™ information.</w:t>
      </w:r>
    </w:p>
    <w:p w14:paraId="36B20868" w14:textId="77777777" w:rsidR="00373226" w:rsidRPr="00373226" w:rsidRDefault="00373226" w:rsidP="00373226">
      <w:pPr>
        <w:pStyle w:val="BodyText"/>
        <w:spacing w:after="0"/>
        <w:rPr>
          <w:lang w:val="en-US"/>
        </w:rPr>
      </w:pPr>
    </w:p>
    <w:p w14:paraId="66F955BF" w14:textId="69963219" w:rsidR="00373226" w:rsidRPr="00373226" w:rsidRDefault="00373226" w:rsidP="00373226">
      <w:pPr>
        <w:pStyle w:val="BodyText"/>
        <w:numPr>
          <w:ilvl w:val="0"/>
          <w:numId w:val="10"/>
        </w:numPr>
        <w:spacing w:after="0"/>
        <w:rPr>
          <w:b/>
          <w:lang w:val="en-US"/>
        </w:rPr>
      </w:pPr>
      <w:r w:rsidRPr="00373226">
        <w:rPr>
          <w:b/>
          <w:lang w:val="en-US"/>
        </w:rPr>
        <w:t>Time-saving review tool</w:t>
      </w:r>
    </w:p>
    <w:p w14:paraId="2251B792" w14:textId="719ABE2B" w:rsidR="00127067" w:rsidRPr="00373226" w:rsidRDefault="00373226" w:rsidP="00373226">
      <w:pPr>
        <w:pStyle w:val="BodyText"/>
        <w:spacing w:after="0"/>
        <w:ind w:left="720"/>
      </w:pPr>
      <w:r w:rsidRPr="00373226">
        <w:rPr>
          <w:lang w:val="en-US"/>
        </w:rPr>
        <w:t xml:space="preserve">Reports are delivered to </w:t>
      </w:r>
      <w:r w:rsidR="007E6FE4">
        <w:rPr>
          <w:lang w:val="en-US"/>
        </w:rPr>
        <w:t>CompuMark’s</w:t>
      </w:r>
      <w:bookmarkStart w:id="0" w:name="_GoBack"/>
      <w:bookmarkEnd w:id="0"/>
      <w:r w:rsidRPr="00373226">
        <w:rPr>
          <w:lang w:val="en-US"/>
        </w:rPr>
        <w:t xml:space="preserve"> Analysis Tool on SERION®. So, you can add your own comments per record or export selected results into final reports in just a few clicks.</w:t>
      </w:r>
    </w:p>
    <w:p w14:paraId="682CEC98" w14:textId="77777777" w:rsidR="00127067" w:rsidRDefault="00127067" w:rsidP="00127067">
      <w:pPr>
        <w:pStyle w:val="BodyText"/>
        <w:rPr>
          <w:lang w:val="en-US"/>
        </w:rPr>
      </w:pPr>
    </w:p>
    <w:p w14:paraId="61A5A45F" w14:textId="77777777" w:rsidR="00127067" w:rsidRDefault="00127067" w:rsidP="00127067">
      <w:pPr>
        <w:pStyle w:val="BodyText"/>
        <w:rPr>
          <w:lang w:val="en-US"/>
        </w:rPr>
      </w:pPr>
    </w:p>
    <w:p w14:paraId="6CC92069" w14:textId="16053A98" w:rsidR="000119E0" w:rsidRPr="00E131D3" w:rsidRDefault="000119E0" w:rsidP="00127067">
      <w:pPr>
        <w:pStyle w:val="BodyText"/>
        <w:rPr>
          <w:rFonts w:asciiTheme="majorHAnsi" w:eastAsiaTheme="majorEastAsia" w:hAnsiTheme="majorHAnsi" w:cstheme="majorBidi"/>
          <w:b/>
          <w:bCs/>
          <w:sz w:val="24"/>
          <w:szCs w:val="26"/>
        </w:rPr>
      </w:pPr>
      <w:r w:rsidRPr="00E131D3">
        <w:rPr>
          <w:rFonts w:asciiTheme="majorHAnsi" w:eastAsiaTheme="majorEastAsia" w:hAnsiTheme="majorHAnsi" w:cstheme="majorBidi"/>
          <w:b/>
          <w:bCs/>
          <w:sz w:val="24"/>
          <w:szCs w:val="26"/>
        </w:rPr>
        <w:t xml:space="preserve">Contact information </w:t>
      </w:r>
    </w:p>
    <w:p w14:paraId="7AED4A96" w14:textId="77777777" w:rsidR="000119E0" w:rsidRDefault="000119E0" w:rsidP="000119E0">
      <w:pPr>
        <w:pStyle w:val="BodyText"/>
        <w:sectPr w:rsidR="000119E0" w:rsidSect="002227AE">
          <w:footerReference w:type="first" r:id="rId12"/>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7851ED" w:rsidP="000119E0">
      <w:pPr>
        <w:pStyle w:val="BodyText"/>
        <w:spacing w:after="0"/>
        <w:rPr>
          <w:sz w:val="18"/>
        </w:rPr>
      </w:pPr>
      <w:hyperlink r:id="rId13" w:history="1">
        <w:r w:rsidR="000119E0" w:rsidRPr="00741A8F">
          <w:rPr>
            <w:rStyle w:val="Hyperlink"/>
            <w:sz w:val="18"/>
          </w:rPr>
          <w:t>compumark.com</w:t>
        </w:r>
      </w:hyperlink>
    </w:p>
    <w:p w14:paraId="5DDF0A12" w14:textId="77777777" w:rsidR="000119E0" w:rsidRDefault="007851ED" w:rsidP="000119E0">
      <w:pPr>
        <w:pStyle w:val="BodyText"/>
        <w:spacing w:after="0"/>
        <w:sectPr w:rsidR="000119E0" w:rsidSect="000119E0">
          <w:type w:val="continuous"/>
          <w:pgSz w:w="12240" w:h="15840" w:code="1"/>
          <w:pgMar w:top="1440" w:right="1440" w:bottom="1440" w:left="1440" w:header="288" w:footer="792" w:gutter="0"/>
          <w:cols w:space="144"/>
          <w:titlePg/>
          <w:docGrid w:linePitch="360"/>
        </w:sectPr>
      </w:pPr>
      <w:hyperlink r:id="rId14" w:history="1">
        <w:r w:rsidR="000119E0" w:rsidRPr="00741A8F">
          <w:rPr>
            <w:rStyle w:val="Hyperlink"/>
            <w:sz w:val="18"/>
          </w:rPr>
          <w:t>clarivate.com</w:t>
        </w:r>
      </w:hyperlink>
    </w:p>
    <w:p w14:paraId="50924767" w14:textId="77777777" w:rsidR="000119E0" w:rsidRDefault="000119E0" w:rsidP="000119E0">
      <w:pPr>
        <w:pStyle w:val="BodyText"/>
      </w:pPr>
    </w:p>
    <w:p w14:paraId="16CA25B8"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6415BB83"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30C78F38" w14:textId="77777777" w:rsidR="000119E0" w:rsidRDefault="000119E0" w:rsidP="000119E0">
      <w:pPr>
        <w:tabs>
          <w:tab w:val="left" w:pos="1325"/>
          <w:tab w:val="left" w:pos="2016"/>
        </w:tabs>
      </w:pPr>
      <w:r>
        <w:tab/>
      </w:r>
    </w:p>
    <w:p w14:paraId="72CE3022" w14:textId="77777777" w:rsidR="000119E0" w:rsidRPr="001668F4" w:rsidRDefault="000119E0" w:rsidP="000119E0"/>
    <w:p w14:paraId="6B196B8E" w14:textId="77777777" w:rsidR="000119E0" w:rsidRPr="001668F4" w:rsidRDefault="000119E0" w:rsidP="000119E0"/>
    <w:p w14:paraId="4940134F" w14:textId="77777777" w:rsidR="000119E0" w:rsidRPr="001668F4" w:rsidRDefault="000119E0" w:rsidP="000119E0"/>
    <w:p w14:paraId="3A3186C1" w14:textId="77777777" w:rsidR="000119E0" w:rsidRPr="001668F4" w:rsidRDefault="000119E0" w:rsidP="000119E0">
      <w:pPr>
        <w:tabs>
          <w:tab w:val="left" w:pos="1515"/>
        </w:tabs>
      </w:pPr>
      <w:r>
        <w:tab/>
      </w:r>
    </w:p>
    <w:p w14:paraId="190B77C7" w14:textId="77777777" w:rsidR="006D4AB6" w:rsidRDefault="007851ED"/>
    <w:sectPr w:rsidR="006D4AB6" w:rsidSect="000119E0">
      <w:type w:val="continuous"/>
      <w:pgSz w:w="12240" w:h="15840" w:code="1"/>
      <w:pgMar w:top="1440" w:right="1440" w:bottom="1440" w:left="1440"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68D3" w14:textId="77777777" w:rsidR="007851ED" w:rsidRDefault="007851ED" w:rsidP="000119E0">
      <w:pPr>
        <w:spacing w:after="0" w:line="240" w:lineRule="auto"/>
      </w:pPr>
      <w:r>
        <w:separator/>
      </w:r>
    </w:p>
  </w:endnote>
  <w:endnote w:type="continuationSeparator" w:id="0">
    <w:p w14:paraId="08E29301" w14:textId="77777777" w:rsidR="007851ED" w:rsidRDefault="007851ED"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0B4E" w14:textId="4F5083AA" w:rsidR="002227AE" w:rsidRPr="00A4343D" w:rsidRDefault="002227AE" w:rsidP="00A4343D">
    <w:pPr>
      <w:pStyle w:val="Footer"/>
      <w:ind w:left="0"/>
      <w:rPr>
        <w:noProof/>
        <w:sz w:val="16"/>
        <w:szCs w:val="20"/>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E777" w14:textId="7F8415AD" w:rsidR="00E131D3" w:rsidRPr="00462677" w:rsidRDefault="00E131D3" w:rsidP="00462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A1EE" w14:textId="77777777" w:rsidR="00462677" w:rsidRPr="00A4343D" w:rsidRDefault="00462677"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B0CE" w14:textId="77777777" w:rsidR="007851ED" w:rsidRDefault="007851ED" w:rsidP="000119E0">
      <w:pPr>
        <w:spacing w:after="0" w:line="240" w:lineRule="auto"/>
      </w:pPr>
      <w:r>
        <w:separator/>
      </w:r>
    </w:p>
  </w:footnote>
  <w:footnote w:type="continuationSeparator" w:id="0">
    <w:p w14:paraId="44CFCBC0" w14:textId="77777777" w:rsidR="007851ED" w:rsidRDefault="007851ED" w:rsidP="0001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829"/>
    <w:multiLevelType w:val="hybridMultilevel"/>
    <w:tmpl w:val="31D0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A70A5"/>
    <w:multiLevelType w:val="hybridMultilevel"/>
    <w:tmpl w:val="B90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3" w15:restartNumberingAfterBreak="0">
    <w:nsid w:val="2D137A4F"/>
    <w:multiLevelType w:val="hybridMultilevel"/>
    <w:tmpl w:val="ED9A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27A95"/>
    <w:multiLevelType w:val="hybridMultilevel"/>
    <w:tmpl w:val="0BE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42653"/>
    <w:multiLevelType w:val="multilevel"/>
    <w:tmpl w:val="55DC2BC4"/>
    <w:numStyleLink w:val="ListBullets"/>
  </w:abstractNum>
  <w:abstractNum w:abstractNumId="6"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0C03DF"/>
    <w:multiLevelType w:val="hybridMultilevel"/>
    <w:tmpl w:val="811C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87BBF"/>
    <w:multiLevelType w:val="hybridMultilevel"/>
    <w:tmpl w:val="305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60A79"/>
    <w:multiLevelType w:val="hybridMultilevel"/>
    <w:tmpl w:val="0F22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8"/>
  </w:num>
  <w:num w:numId="6">
    <w:abstractNumId w:val="4"/>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017DEA"/>
    <w:rsid w:val="0003539C"/>
    <w:rsid w:val="00055AE4"/>
    <w:rsid w:val="00127067"/>
    <w:rsid w:val="00145CE6"/>
    <w:rsid w:val="001E5A96"/>
    <w:rsid w:val="002227AE"/>
    <w:rsid w:val="0026060D"/>
    <w:rsid w:val="002A27CE"/>
    <w:rsid w:val="002A2DB3"/>
    <w:rsid w:val="00373226"/>
    <w:rsid w:val="00393F8F"/>
    <w:rsid w:val="003C0ED1"/>
    <w:rsid w:val="00462677"/>
    <w:rsid w:val="00464783"/>
    <w:rsid w:val="00495240"/>
    <w:rsid w:val="004E550B"/>
    <w:rsid w:val="00583456"/>
    <w:rsid w:val="005D3EE8"/>
    <w:rsid w:val="005E10D8"/>
    <w:rsid w:val="006A4012"/>
    <w:rsid w:val="006A4888"/>
    <w:rsid w:val="006C723D"/>
    <w:rsid w:val="00706C3F"/>
    <w:rsid w:val="007457C3"/>
    <w:rsid w:val="00782D0D"/>
    <w:rsid w:val="007851ED"/>
    <w:rsid w:val="007A5131"/>
    <w:rsid w:val="007D6D19"/>
    <w:rsid w:val="007E6FE4"/>
    <w:rsid w:val="00846BAB"/>
    <w:rsid w:val="008475C4"/>
    <w:rsid w:val="0091504B"/>
    <w:rsid w:val="00954D74"/>
    <w:rsid w:val="009B60F8"/>
    <w:rsid w:val="00A4343D"/>
    <w:rsid w:val="00A67965"/>
    <w:rsid w:val="00B362A5"/>
    <w:rsid w:val="00B51CFC"/>
    <w:rsid w:val="00C264B6"/>
    <w:rsid w:val="00C678D1"/>
    <w:rsid w:val="00CE29E3"/>
    <w:rsid w:val="00D027BF"/>
    <w:rsid w:val="00D45028"/>
    <w:rsid w:val="00D55FE0"/>
    <w:rsid w:val="00DB7CD7"/>
    <w:rsid w:val="00E0244A"/>
    <w:rsid w:val="00E131D3"/>
    <w:rsid w:val="00E91DE5"/>
    <w:rsid w:val="00EB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1">
    <w:name w:val="heading 1"/>
    <w:basedOn w:val="Normal"/>
    <w:next w:val="Normal"/>
    <w:link w:val="Heading1Char"/>
    <w:uiPriority w:val="9"/>
    <w:qFormat/>
    <w:rsid w:val="006C7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 w:type="character" w:customStyle="1" w:styleId="Heading1Char">
    <w:name w:val="Heading 1 Char"/>
    <w:basedOn w:val="DefaultParagraphFont"/>
    <w:link w:val="Heading1"/>
    <w:uiPriority w:val="9"/>
    <w:rsid w:val="006C72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umar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riv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7478E-4C8C-481A-A019-F335F6BC3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4E4B0-0B8F-43FE-9E1F-DC2FDBD85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17</cp:revision>
  <dcterms:created xsi:type="dcterms:W3CDTF">2019-12-27T17:27:00Z</dcterms:created>
  <dcterms:modified xsi:type="dcterms:W3CDTF">2019-12-27T18:25:00Z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