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022C" w14:textId="77777777" w:rsidR="000119E0" w:rsidRDefault="000119E0" w:rsidP="000119E0">
      <w:pPr>
        <w:pStyle w:val="Title"/>
        <w:spacing w:after="0"/>
        <w:rPr>
          <w:sz w:val="40"/>
        </w:rPr>
      </w:pPr>
    </w:p>
    <w:p w14:paraId="1D7E41C8" w14:textId="77777777" w:rsidR="000119E0" w:rsidRPr="000119E0" w:rsidRDefault="000119E0" w:rsidP="000119E0">
      <w:pPr>
        <w:jc w:val="both"/>
        <w:rPr>
          <w:rFonts w:eastAsia="Times New Roman"/>
          <w:i/>
        </w:rPr>
      </w:pPr>
      <w:r w:rsidRPr="000119E0">
        <w:rPr>
          <w:rFonts w:eastAsia="Times New Roman"/>
          <w:i/>
          <w:iCs/>
        </w:rPr>
        <w:t>This document is intended for CompuMark law firms and partners to build in their branded templates and share with their clients</w:t>
      </w:r>
    </w:p>
    <w:p w14:paraId="0FAE496F" w14:textId="77777777" w:rsidR="000119E0" w:rsidRPr="000119E0" w:rsidRDefault="000119E0" w:rsidP="000119E0">
      <w:pPr>
        <w:jc w:val="both"/>
        <w:rPr>
          <w:rFonts w:eastAsia="Times New Roman"/>
          <w:i/>
        </w:rPr>
      </w:pPr>
    </w:p>
    <w:p w14:paraId="2C43EE82" w14:textId="77777777" w:rsidR="000119E0" w:rsidRPr="000119E0" w:rsidRDefault="000119E0" w:rsidP="000119E0">
      <w:pPr>
        <w:jc w:val="both"/>
        <w:rPr>
          <w:rFonts w:eastAsia="Times New Roman"/>
          <w:i/>
        </w:rPr>
      </w:pPr>
      <w:proofErr w:type="gramStart"/>
      <w:r w:rsidRPr="000119E0">
        <w:rPr>
          <w:rFonts w:eastAsia="Times New Roman"/>
          <w:i/>
        </w:rPr>
        <w:t>As long as</w:t>
      </w:r>
      <w:proofErr w:type="gramEnd"/>
      <w:r w:rsidRPr="000119E0">
        <w:rPr>
          <w:rFonts w:eastAsia="Times New Roman"/>
          <w:i/>
        </w:rPr>
        <w:t xml:space="preserve"> the template is active on CompuMark’s Watch Resource Center, CompuMark Watch Customers may use this template to create a Customer branded document to share with their clients. Customer understands that they must check the Resource Center regularly to ensure the template is still in use and that Customer is using the most current version of the template.  Customer agrees that CompuMark may terminate permission to use the template at any time. </w:t>
      </w:r>
      <w:r>
        <w:rPr>
          <w:sz w:val="40"/>
        </w:rPr>
        <w:br w:type="page"/>
      </w:r>
    </w:p>
    <w:p w14:paraId="4521BA22" w14:textId="4E238824" w:rsidR="000119E0" w:rsidRPr="000119E0" w:rsidRDefault="002D329B" w:rsidP="000119E0">
      <w:pPr>
        <w:pStyle w:val="Title"/>
        <w:spacing w:after="0"/>
        <w:rPr>
          <w:sz w:val="40"/>
        </w:rPr>
      </w:pPr>
      <w:r>
        <w:rPr>
          <w:sz w:val="40"/>
        </w:rPr>
        <w:lastRenderedPageBreak/>
        <w:t>Watch Menu</w:t>
      </w:r>
    </w:p>
    <w:p w14:paraId="0CCE0EEF" w14:textId="055BC181" w:rsidR="000119E0" w:rsidRPr="00AF2F1A" w:rsidRDefault="00AF2F1A" w:rsidP="00AF2F1A">
      <w:pPr>
        <w:pStyle w:val="Heading2"/>
        <w:rPr>
          <w:rFonts w:asciiTheme="minorHAnsi" w:eastAsiaTheme="minorHAnsi" w:hAnsiTheme="minorHAnsi" w:cstheme="minorBidi"/>
          <w:b w:val="0"/>
          <w:bCs w:val="0"/>
          <w:color w:val="auto"/>
          <w:sz w:val="28"/>
          <w:szCs w:val="28"/>
          <w:lang w:val="en-US"/>
        </w:rPr>
      </w:pPr>
      <w:r w:rsidRPr="00AF2F1A">
        <w:rPr>
          <w:rFonts w:asciiTheme="minorHAnsi" w:eastAsiaTheme="minorHAnsi" w:hAnsiTheme="minorHAnsi" w:cstheme="minorBidi"/>
          <w:b w:val="0"/>
          <w:bCs w:val="0"/>
          <w:color w:val="auto"/>
          <w:sz w:val="28"/>
          <w:szCs w:val="28"/>
          <w:lang w:val="en-US"/>
        </w:rPr>
        <w:t>Are your trademarks</w:t>
      </w:r>
      <w:r>
        <w:rPr>
          <w:rFonts w:asciiTheme="minorHAnsi" w:eastAsiaTheme="minorHAnsi" w:hAnsiTheme="minorHAnsi" w:cstheme="minorBidi"/>
          <w:b w:val="0"/>
          <w:bCs w:val="0"/>
          <w:color w:val="auto"/>
          <w:sz w:val="28"/>
          <w:szCs w:val="28"/>
          <w:lang w:val="en-US"/>
        </w:rPr>
        <w:t xml:space="preserve"> </w:t>
      </w:r>
      <w:r w:rsidRPr="00AF2F1A">
        <w:rPr>
          <w:rFonts w:asciiTheme="minorHAnsi" w:eastAsiaTheme="minorHAnsi" w:hAnsiTheme="minorHAnsi" w:cstheme="minorBidi"/>
          <w:b w:val="0"/>
          <w:bCs w:val="0"/>
          <w:color w:val="auto"/>
          <w:sz w:val="28"/>
          <w:szCs w:val="28"/>
          <w:lang w:val="en-US"/>
        </w:rPr>
        <w:t>at risk around the world?</w:t>
      </w:r>
    </w:p>
    <w:p w14:paraId="581FAD1B" w14:textId="77777777" w:rsidR="000119E0" w:rsidRPr="000119E0" w:rsidRDefault="000119E0" w:rsidP="000119E0">
      <w:pPr>
        <w:pStyle w:val="BodyText"/>
        <w:rPr>
          <w:lang w:val="en-US"/>
        </w:rPr>
        <w:sectPr w:rsidR="000119E0" w:rsidRPr="000119E0" w:rsidSect="000119E0">
          <w:footerReference w:type="default" r:id="rId10"/>
          <w:footerReference w:type="first" r:id="rId11"/>
          <w:pgSz w:w="12240" w:h="15840" w:code="1"/>
          <w:pgMar w:top="1440" w:right="1440" w:bottom="1440" w:left="1440" w:header="288" w:footer="792" w:gutter="0"/>
          <w:cols w:space="708"/>
          <w:titlePg/>
          <w:docGrid w:linePitch="360"/>
        </w:sectPr>
      </w:pPr>
    </w:p>
    <w:p w14:paraId="68CA4565" w14:textId="77777777" w:rsidR="001B4792" w:rsidRDefault="001B4792" w:rsidP="000119E0">
      <w:pPr>
        <w:pStyle w:val="Heading2"/>
        <w:rPr>
          <w:lang w:val="en-US"/>
        </w:rPr>
      </w:pPr>
    </w:p>
    <w:p w14:paraId="401CC7FD" w14:textId="5E35B454" w:rsidR="001B4792" w:rsidRPr="001B4792" w:rsidRDefault="001B4792" w:rsidP="000119E0">
      <w:pPr>
        <w:pStyle w:val="Heading2"/>
        <w:rPr>
          <w:rFonts w:asciiTheme="minorHAnsi" w:eastAsiaTheme="minorHAnsi" w:hAnsiTheme="minorHAnsi" w:cstheme="minorBidi"/>
          <w:b w:val="0"/>
          <w:bCs w:val="0"/>
          <w:sz w:val="20"/>
          <w:szCs w:val="22"/>
        </w:rPr>
      </w:pPr>
      <w:r w:rsidRPr="001B4792">
        <w:rPr>
          <w:rFonts w:asciiTheme="minorHAnsi" w:eastAsiaTheme="minorHAnsi" w:hAnsiTheme="minorHAnsi" w:cstheme="minorBidi"/>
          <w:b w:val="0"/>
          <w:bCs w:val="0"/>
          <w:sz w:val="20"/>
          <w:szCs w:val="22"/>
        </w:rPr>
        <w:t xml:space="preserve">Learn more about </w:t>
      </w:r>
      <w:r w:rsidRPr="001B4792">
        <w:rPr>
          <w:rFonts w:asciiTheme="minorHAnsi" w:eastAsiaTheme="minorHAnsi" w:hAnsiTheme="minorHAnsi" w:cstheme="minorBidi"/>
          <w:b w:val="0"/>
          <w:bCs w:val="0"/>
          <w:color w:val="FF0000"/>
          <w:sz w:val="20"/>
          <w:szCs w:val="22"/>
        </w:rPr>
        <w:t xml:space="preserve">[Insert </w:t>
      </w:r>
      <w:r w:rsidR="00975D26">
        <w:rPr>
          <w:rFonts w:asciiTheme="minorHAnsi" w:eastAsiaTheme="minorHAnsi" w:hAnsiTheme="minorHAnsi" w:cstheme="minorBidi"/>
          <w:b w:val="0"/>
          <w:bCs w:val="0"/>
          <w:color w:val="FF0000"/>
          <w:sz w:val="20"/>
          <w:szCs w:val="22"/>
        </w:rPr>
        <w:t xml:space="preserve">Law </w:t>
      </w:r>
      <w:r w:rsidRPr="001B4792">
        <w:rPr>
          <w:rFonts w:asciiTheme="minorHAnsi" w:eastAsiaTheme="minorHAnsi" w:hAnsiTheme="minorHAnsi" w:cstheme="minorBidi"/>
          <w:b w:val="0"/>
          <w:bCs w:val="0"/>
          <w:color w:val="FF0000"/>
          <w:sz w:val="20"/>
          <w:szCs w:val="22"/>
        </w:rPr>
        <w:t xml:space="preserve">Firm Name] </w:t>
      </w:r>
      <w:r w:rsidRPr="001B4792">
        <w:rPr>
          <w:rFonts w:asciiTheme="minorHAnsi" w:eastAsiaTheme="minorHAnsi" w:hAnsiTheme="minorHAnsi" w:cstheme="minorBidi"/>
          <w:b w:val="0"/>
          <w:bCs w:val="0"/>
          <w:sz w:val="20"/>
          <w:szCs w:val="22"/>
        </w:rPr>
        <w:t>together with CompuMark’s various Watch services for unique pricing.</w:t>
      </w:r>
    </w:p>
    <w:p w14:paraId="15C1B9E6" w14:textId="77777777" w:rsidR="001B4792" w:rsidRPr="001B4792" w:rsidRDefault="001B4792" w:rsidP="001B4792">
      <w:pPr>
        <w:pStyle w:val="BodyText"/>
      </w:pPr>
    </w:p>
    <w:p w14:paraId="5240CD2F" w14:textId="10D46B15" w:rsidR="000119E0" w:rsidRDefault="00CB6D49" w:rsidP="000119E0">
      <w:pPr>
        <w:pStyle w:val="Heading2"/>
      </w:pPr>
      <w:r>
        <w:t>Trademark watching solutions</w:t>
      </w:r>
    </w:p>
    <w:p w14:paraId="2E95A3CB" w14:textId="752A0B74" w:rsidR="006A43D1" w:rsidRPr="006A43D1" w:rsidRDefault="006A43D1" w:rsidP="006A43D1">
      <w:pPr>
        <w:pStyle w:val="Heading2"/>
        <w:rPr>
          <w:rFonts w:asciiTheme="minorHAnsi" w:eastAsiaTheme="minorHAnsi" w:hAnsiTheme="minorHAnsi" w:cstheme="minorBidi"/>
          <w:b w:val="0"/>
          <w:bCs w:val="0"/>
          <w:sz w:val="20"/>
          <w:szCs w:val="22"/>
        </w:rPr>
      </w:pPr>
      <w:r w:rsidRPr="006A43D1">
        <w:rPr>
          <w:rFonts w:asciiTheme="minorHAnsi" w:eastAsiaTheme="minorHAnsi" w:hAnsiTheme="minorHAnsi" w:cstheme="minorBidi"/>
          <w:b w:val="0"/>
          <w:bCs w:val="0"/>
          <w:sz w:val="20"/>
          <w:szCs w:val="22"/>
        </w:rPr>
        <w:t>With trademark filings on the rise around the world, protecting your brands has never been more crucial.</w:t>
      </w:r>
      <w:r>
        <w:rPr>
          <w:rFonts w:asciiTheme="minorHAnsi" w:eastAsiaTheme="minorHAnsi" w:hAnsiTheme="minorHAnsi" w:cstheme="minorBidi"/>
          <w:b w:val="0"/>
          <w:bCs w:val="0"/>
          <w:sz w:val="20"/>
          <w:szCs w:val="22"/>
        </w:rPr>
        <w:t xml:space="preserve"> </w:t>
      </w:r>
      <w:r w:rsidRPr="006A43D1">
        <w:rPr>
          <w:rFonts w:asciiTheme="minorHAnsi" w:eastAsiaTheme="minorHAnsi" w:hAnsiTheme="minorHAnsi" w:cstheme="minorBidi"/>
          <w:b w:val="0"/>
          <w:bCs w:val="0"/>
          <w:sz w:val="20"/>
          <w:szCs w:val="22"/>
        </w:rPr>
        <w:t>With an explosion of new online channels and the emergence of new global markets, it’s never been more complex.</w:t>
      </w:r>
    </w:p>
    <w:p w14:paraId="0B612C8B" w14:textId="20ED08CF" w:rsidR="006A43D1" w:rsidRPr="006A43D1" w:rsidRDefault="00196C8D" w:rsidP="006A43D1">
      <w:pPr>
        <w:pStyle w:val="Heading2"/>
        <w:rPr>
          <w:rFonts w:asciiTheme="minorHAnsi" w:eastAsiaTheme="minorHAnsi" w:hAnsiTheme="minorHAnsi" w:cstheme="minorBidi"/>
          <w:b w:val="0"/>
          <w:bCs w:val="0"/>
          <w:sz w:val="20"/>
          <w:szCs w:val="22"/>
        </w:rPr>
      </w:pPr>
      <w:r>
        <w:rPr>
          <w:rFonts w:asciiTheme="minorHAnsi" w:eastAsiaTheme="minorHAnsi" w:hAnsiTheme="minorHAnsi" w:cstheme="minorBidi"/>
          <w:b w:val="0"/>
          <w:bCs w:val="0"/>
          <w:sz w:val="20"/>
          <w:szCs w:val="22"/>
        </w:rPr>
        <w:t xml:space="preserve">Powered by </w:t>
      </w:r>
      <w:r w:rsidR="006A43D1" w:rsidRPr="006A43D1">
        <w:rPr>
          <w:rFonts w:asciiTheme="minorHAnsi" w:eastAsiaTheme="minorHAnsi" w:hAnsiTheme="minorHAnsi" w:cstheme="minorBidi"/>
          <w:b w:val="0"/>
          <w:bCs w:val="0"/>
          <w:sz w:val="20"/>
          <w:szCs w:val="22"/>
        </w:rPr>
        <w:t>CompuMark</w:t>
      </w:r>
      <w:r>
        <w:rPr>
          <w:rFonts w:asciiTheme="minorHAnsi" w:eastAsiaTheme="minorHAnsi" w:hAnsiTheme="minorHAnsi" w:cstheme="minorBidi"/>
          <w:b w:val="0"/>
          <w:bCs w:val="0"/>
          <w:sz w:val="20"/>
          <w:szCs w:val="22"/>
        </w:rPr>
        <w:t xml:space="preserve">, </w:t>
      </w:r>
      <w:r w:rsidRPr="00196C8D">
        <w:rPr>
          <w:rFonts w:asciiTheme="minorHAnsi" w:eastAsiaTheme="minorHAnsi" w:hAnsiTheme="minorHAnsi" w:cstheme="minorBidi"/>
          <w:b w:val="0"/>
          <w:bCs w:val="0"/>
          <w:color w:val="FF0000"/>
          <w:sz w:val="20"/>
          <w:szCs w:val="22"/>
        </w:rPr>
        <w:t xml:space="preserve">[Insert </w:t>
      </w:r>
      <w:r w:rsidR="00975D26">
        <w:rPr>
          <w:rFonts w:asciiTheme="minorHAnsi" w:eastAsiaTheme="minorHAnsi" w:hAnsiTheme="minorHAnsi" w:cstheme="minorBidi"/>
          <w:b w:val="0"/>
          <w:bCs w:val="0"/>
          <w:color w:val="FF0000"/>
          <w:sz w:val="20"/>
          <w:szCs w:val="22"/>
        </w:rPr>
        <w:t xml:space="preserve">Law </w:t>
      </w:r>
      <w:r w:rsidRPr="00196C8D">
        <w:rPr>
          <w:rFonts w:asciiTheme="minorHAnsi" w:eastAsiaTheme="minorHAnsi" w:hAnsiTheme="minorHAnsi" w:cstheme="minorBidi"/>
          <w:b w:val="0"/>
          <w:bCs w:val="0"/>
          <w:color w:val="FF0000"/>
          <w:sz w:val="20"/>
          <w:szCs w:val="22"/>
        </w:rPr>
        <w:t>Firm Name]</w:t>
      </w:r>
      <w:r w:rsidR="006A43D1" w:rsidRPr="00196C8D">
        <w:rPr>
          <w:rFonts w:asciiTheme="minorHAnsi" w:eastAsiaTheme="minorHAnsi" w:hAnsiTheme="minorHAnsi" w:cstheme="minorBidi"/>
          <w:b w:val="0"/>
          <w:bCs w:val="0"/>
          <w:color w:val="FF0000"/>
          <w:sz w:val="20"/>
          <w:szCs w:val="22"/>
        </w:rPr>
        <w:t xml:space="preserve"> </w:t>
      </w:r>
      <w:r w:rsidR="006A43D1" w:rsidRPr="006A43D1">
        <w:rPr>
          <w:rFonts w:asciiTheme="minorHAnsi" w:eastAsiaTheme="minorHAnsi" w:hAnsiTheme="minorHAnsi" w:cstheme="minorBidi"/>
          <w:b w:val="0"/>
          <w:bCs w:val="0"/>
          <w:sz w:val="20"/>
          <w:szCs w:val="22"/>
        </w:rPr>
        <w:t>helps you meet the challenge with a comprehensive suite of Watching services that make monitoring your brands easy and cost-effective.</w:t>
      </w:r>
    </w:p>
    <w:p w14:paraId="7408F868" w14:textId="3A05E893" w:rsidR="006A43D1" w:rsidRPr="006A43D1" w:rsidRDefault="006A43D1" w:rsidP="006A43D1">
      <w:pPr>
        <w:pStyle w:val="Heading2"/>
        <w:rPr>
          <w:rFonts w:asciiTheme="minorHAnsi" w:eastAsiaTheme="minorHAnsi" w:hAnsiTheme="minorHAnsi" w:cstheme="minorBidi"/>
          <w:b w:val="0"/>
          <w:bCs w:val="0"/>
          <w:sz w:val="20"/>
          <w:szCs w:val="22"/>
        </w:rPr>
      </w:pPr>
      <w:r w:rsidRPr="006A43D1">
        <w:rPr>
          <w:rFonts w:asciiTheme="minorHAnsi" w:eastAsiaTheme="minorHAnsi" w:hAnsiTheme="minorHAnsi" w:cstheme="minorBidi"/>
          <w:b w:val="0"/>
          <w:bCs w:val="0"/>
          <w:sz w:val="20"/>
          <w:szCs w:val="22"/>
        </w:rPr>
        <w:t xml:space="preserve">With </w:t>
      </w:r>
      <w:r w:rsidR="004B0A73">
        <w:rPr>
          <w:rFonts w:asciiTheme="minorHAnsi" w:eastAsiaTheme="minorHAnsi" w:hAnsiTheme="minorHAnsi" w:cstheme="minorBidi"/>
          <w:b w:val="0"/>
          <w:bCs w:val="0"/>
          <w:sz w:val="20"/>
          <w:szCs w:val="22"/>
        </w:rPr>
        <w:t xml:space="preserve">content </w:t>
      </w:r>
      <w:r w:rsidR="00D27488">
        <w:rPr>
          <w:rFonts w:asciiTheme="minorHAnsi" w:eastAsiaTheme="minorHAnsi" w:hAnsiTheme="minorHAnsi" w:cstheme="minorBidi"/>
          <w:b w:val="0"/>
          <w:bCs w:val="0"/>
          <w:sz w:val="20"/>
          <w:szCs w:val="22"/>
        </w:rPr>
        <w:t>covering</w:t>
      </w:r>
      <w:r w:rsidR="004B0A73">
        <w:rPr>
          <w:rFonts w:asciiTheme="minorHAnsi" w:eastAsiaTheme="minorHAnsi" w:hAnsiTheme="minorHAnsi" w:cstheme="minorBidi"/>
          <w:b w:val="0"/>
          <w:bCs w:val="0"/>
          <w:sz w:val="20"/>
          <w:szCs w:val="22"/>
        </w:rPr>
        <w:t xml:space="preserve"> more than 250</w:t>
      </w:r>
      <w:r w:rsidRPr="006A43D1">
        <w:rPr>
          <w:rFonts w:asciiTheme="minorHAnsi" w:eastAsiaTheme="minorHAnsi" w:hAnsiTheme="minorHAnsi" w:cstheme="minorBidi"/>
          <w:b w:val="0"/>
          <w:bCs w:val="0"/>
          <w:sz w:val="20"/>
          <w:szCs w:val="22"/>
        </w:rPr>
        <w:t xml:space="preserve"> countries and territories across 1</w:t>
      </w:r>
      <w:r w:rsidR="000F09F6">
        <w:rPr>
          <w:rFonts w:asciiTheme="minorHAnsi" w:eastAsiaTheme="minorHAnsi" w:hAnsiTheme="minorHAnsi" w:cstheme="minorBidi"/>
          <w:b w:val="0"/>
          <w:bCs w:val="0"/>
          <w:sz w:val="20"/>
          <w:szCs w:val="22"/>
        </w:rPr>
        <w:t>90+</w:t>
      </w:r>
      <w:r w:rsidRPr="006A43D1">
        <w:rPr>
          <w:rFonts w:asciiTheme="minorHAnsi" w:eastAsiaTheme="minorHAnsi" w:hAnsiTheme="minorHAnsi" w:cstheme="minorBidi"/>
          <w:b w:val="0"/>
          <w:bCs w:val="0"/>
          <w:sz w:val="20"/>
          <w:szCs w:val="22"/>
        </w:rPr>
        <w:t xml:space="preserve"> registers, we provide:</w:t>
      </w:r>
    </w:p>
    <w:p w14:paraId="172EA6B8" w14:textId="78DE27EE" w:rsidR="006A43D1" w:rsidRPr="006A43D1" w:rsidRDefault="006A43D1" w:rsidP="006A43D1">
      <w:pPr>
        <w:pStyle w:val="Heading2"/>
        <w:numPr>
          <w:ilvl w:val="0"/>
          <w:numId w:val="4"/>
        </w:numPr>
        <w:rPr>
          <w:rFonts w:asciiTheme="minorHAnsi" w:eastAsiaTheme="minorHAnsi" w:hAnsiTheme="minorHAnsi" w:cstheme="minorBidi"/>
          <w:b w:val="0"/>
          <w:bCs w:val="0"/>
          <w:sz w:val="20"/>
          <w:szCs w:val="22"/>
        </w:rPr>
      </w:pPr>
      <w:r w:rsidRPr="006A43D1">
        <w:rPr>
          <w:rFonts w:asciiTheme="minorHAnsi" w:eastAsiaTheme="minorHAnsi" w:hAnsiTheme="minorHAnsi" w:cstheme="minorBidi"/>
          <w:b w:val="0"/>
          <w:bCs w:val="0"/>
          <w:sz w:val="20"/>
          <w:szCs w:val="22"/>
        </w:rPr>
        <w:t>Global coverage and reliable insight</w:t>
      </w:r>
    </w:p>
    <w:p w14:paraId="5C4DA0BB" w14:textId="77777777" w:rsidR="003C03DF" w:rsidRDefault="006A43D1" w:rsidP="003C03DF">
      <w:pPr>
        <w:pStyle w:val="Heading2"/>
        <w:numPr>
          <w:ilvl w:val="0"/>
          <w:numId w:val="4"/>
        </w:numPr>
        <w:rPr>
          <w:rFonts w:asciiTheme="minorHAnsi" w:eastAsiaTheme="minorHAnsi" w:hAnsiTheme="minorHAnsi" w:cstheme="minorBidi"/>
          <w:b w:val="0"/>
          <w:bCs w:val="0"/>
          <w:sz w:val="20"/>
          <w:szCs w:val="22"/>
        </w:rPr>
      </w:pPr>
      <w:r w:rsidRPr="006A43D1">
        <w:rPr>
          <w:rFonts w:asciiTheme="minorHAnsi" w:eastAsiaTheme="minorHAnsi" w:hAnsiTheme="minorHAnsi" w:cstheme="minorBidi"/>
          <w:b w:val="0"/>
          <w:bCs w:val="0"/>
          <w:sz w:val="20"/>
          <w:szCs w:val="22"/>
        </w:rPr>
        <w:t>Detailed information across a range of channels and trademark type</w:t>
      </w:r>
      <w:bookmarkStart w:id="0" w:name="_GoBack"/>
      <w:bookmarkEnd w:id="0"/>
      <w:r w:rsidRPr="006A43D1">
        <w:rPr>
          <w:rFonts w:asciiTheme="minorHAnsi" w:eastAsiaTheme="minorHAnsi" w:hAnsiTheme="minorHAnsi" w:cstheme="minorBidi"/>
          <w:b w:val="0"/>
          <w:bCs w:val="0"/>
          <w:sz w:val="20"/>
          <w:szCs w:val="22"/>
        </w:rPr>
        <w:t>s</w:t>
      </w:r>
    </w:p>
    <w:p w14:paraId="24310AF4" w14:textId="6BE21BB3" w:rsidR="00AF2F1A" w:rsidRPr="003C03DF" w:rsidRDefault="006A43D1" w:rsidP="003C03DF">
      <w:pPr>
        <w:pStyle w:val="Heading2"/>
        <w:numPr>
          <w:ilvl w:val="0"/>
          <w:numId w:val="4"/>
        </w:numPr>
        <w:rPr>
          <w:rFonts w:asciiTheme="minorHAnsi" w:eastAsiaTheme="minorHAnsi" w:hAnsiTheme="minorHAnsi" w:cstheme="minorBidi"/>
          <w:b w:val="0"/>
          <w:bCs w:val="0"/>
          <w:sz w:val="20"/>
          <w:szCs w:val="22"/>
        </w:rPr>
      </w:pPr>
      <w:r w:rsidRPr="003C03DF">
        <w:rPr>
          <w:rFonts w:asciiTheme="minorHAnsi" w:eastAsiaTheme="minorHAnsi" w:hAnsiTheme="minorHAnsi" w:cstheme="minorBidi"/>
          <w:b w:val="0"/>
          <w:bCs w:val="0"/>
          <w:sz w:val="20"/>
          <w:szCs w:val="22"/>
        </w:rPr>
        <w:t>Expert guidance and responsive service</w:t>
      </w:r>
    </w:p>
    <w:p w14:paraId="03F21648" w14:textId="5A40F86A" w:rsidR="006A43D1" w:rsidRDefault="006A43D1" w:rsidP="000119E0">
      <w:pPr>
        <w:pStyle w:val="Heading2"/>
      </w:pPr>
    </w:p>
    <w:p w14:paraId="4D8B6926" w14:textId="77777777" w:rsidR="002172E4" w:rsidRPr="002172E4" w:rsidRDefault="002172E4" w:rsidP="002172E4">
      <w:pPr>
        <w:pStyle w:val="Heading2"/>
      </w:pPr>
      <w:r w:rsidRPr="002172E4">
        <w:t>International watching solutions</w:t>
      </w:r>
    </w:p>
    <w:p w14:paraId="5702E12C" w14:textId="3ADD90B3" w:rsidR="002172E4" w:rsidRPr="002172E4" w:rsidRDefault="002172E4" w:rsidP="002172E4">
      <w:pPr>
        <w:pStyle w:val="BodyText"/>
        <w:rPr>
          <w:lang w:val="en-US"/>
        </w:rPr>
      </w:pPr>
      <w:r w:rsidRPr="002172E4">
        <w:rPr>
          <w:lang w:val="en-US"/>
        </w:rPr>
        <w:t xml:space="preserve">In today’s global marketplace, </w:t>
      </w:r>
      <w:proofErr w:type="gramStart"/>
      <w:r w:rsidRPr="002172E4">
        <w:rPr>
          <w:lang w:val="en-US"/>
        </w:rPr>
        <w:t>Watching</w:t>
      </w:r>
      <w:proofErr w:type="gramEnd"/>
      <w:r w:rsidRPr="002172E4">
        <w:rPr>
          <w:lang w:val="en-US"/>
        </w:rPr>
        <w:t xml:space="preserve"> markets around the world is crucial for managing infringement risk.</w:t>
      </w:r>
    </w:p>
    <w:p w14:paraId="24854634" w14:textId="77777777" w:rsidR="002172E4" w:rsidRPr="002172E4" w:rsidRDefault="002172E4" w:rsidP="002172E4">
      <w:pPr>
        <w:pStyle w:val="BodyText"/>
        <w:rPr>
          <w:b/>
          <w:lang w:val="en-US"/>
        </w:rPr>
      </w:pPr>
      <w:r w:rsidRPr="002172E4">
        <w:rPr>
          <w:b/>
          <w:lang w:val="en-US"/>
        </w:rPr>
        <w:t>Worldwide Watch</w:t>
      </w:r>
    </w:p>
    <w:p w14:paraId="26CCE917" w14:textId="4327EA9C" w:rsidR="002172E4" w:rsidRPr="002172E4" w:rsidRDefault="002172E4" w:rsidP="002172E4">
      <w:pPr>
        <w:pStyle w:val="BodyText"/>
        <w:rPr>
          <w:lang w:val="en-US"/>
        </w:rPr>
      </w:pPr>
      <w:r w:rsidRPr="002172E4">
        <w:rPr>
          <w:lang w:val="en-US"/>
        </w:rPr>
        <w:t>Safeguard your trademarks from potential infringement. Watch worldwide, by region or by country.</w:t>
      </w:r>
    </w:p>
    <w:p w14:paraId="6BC93B0A" w14:textId="50909C66" w:rsidR="002172E4" w:rsidRPr="002172E4" w:rsidRDefault="002172E4" w:rsidP="002172E4">
      <w:pPr>
        <w:pStyle w:val="BodyText"/>
        <w:numPr>
          <w:ilvl w:val="0"/>
          <w:numId w:val="5"/>
        </w:numPr>
        <w:rPr>
          <w:lang w:val="en-US"/>
        </w:rPr>
      </w:pPr>
      <w:r w:rsidRPr="002172E4">
        <w:rPr>
          <w:lang w:val="en-US"/>
        </w:rPr>
        <w:t>English translations of Goods and Services are included for most registers at</w:t>
      </w:r>
      <w:r>
        <w:rPr>
          <w:lang w:val="en-US"/>
        </w:rPr>
        <w:t xml:space="preserve"> </w:t>
      </w:r>
      <w:r w:rsidRPr="002172E4">
        <w:rPr>
          <w:lang w:val="en-US"/>
        </w:rPr>
        <w:t>no additional cost.</w:t>
      </w:r>
    </w:p>
    <w:p w14:paraId="4AE2500C" w14:textId="2278DD97" w:rsidR="002172E4" w:rsidRPr="002172E4" w:rsidRDefault="002172E4" w:rsidP="002172E4">
      <w:pPr>
        <w:pStyle w:val="BodyText"/>
        <w:numPr>
          <w:ilvl w:val="0"/>
          <w:numId w:val="5"/>
        </w:numPr>
        <w:rPr>
          <w:lang w:val="en-US"/>
        </w:rPr>
      </w:pPr>
      <w:r w:rsidRPr="002172E4">
        <w:rPr>
          <w:b/>
          <w:lang w:val="en-US"/>
        </w:rPr>
        <w:t>Word trademarks:</w:t>
      </w:r>
      <w:r w:rsidRPr="002172E4">
        <w:rPr>
          <w:lang w:val="en-US"/>
        </w:rPr>
        <w:t xml:space="preserve"> Reports identical and phonetically identical marks in all classes, plus confusingly similar marks in a selected or chosen class.</w:t>
      </w:r>
    </w:p>
    <w:p w14:paraId="70900889" w14:textId="3AD1E8E7" w:rsidR="00DD2586" w:rsidRDefault="002172E4" w:rsidP="00DD2586">
      <w:pPr>
        <w:pStyle w:val="BodyText"/>
        <w:numPr>
          <w:ilvl w:val="0"/>
          <w:numId w:val="5"/>
        </w:numPr>
        <w:rPr>
          <w:lang w:val="en-US"/>
        </w:rPr>
      </w:pPr>
      <w:r w:rsidRPr="002172E4">
        <w:rPr>
          <w:b/>
          <w:lang w:val="en-US"/>
        </w:rPr>
        <w:t>Device trademarks:</w:t>
      </w:r>
      <w:r w:rsidRPr="002172E4">
        <w:rPr>
          <w:lang w:val="en-US"/>
        </w:rPr>
        <w:t xml:space="preserve"> Reports visually similar device marks in a class or classes of your choice.</w:t>
      </w:r>
    </w:p>
    <w:p w14:paraId="21E0B891" w14:textId="77777777" w:rsidR="00DD2586" w:rsidRPr="00DD2586" w:rsidRDefault="00DD2586" w:rsidP="00DD2586">
      <w:pPr>
        <w:pStyle w:val="BodyText"/>
        <w:rPr>
          <w:lang w:val="en-US"/>
        </w:rPr>
      </w:pPr>
    </w:p>
    <w:tbl>
      <w:tblPr>
        <w:tblStyle w:val="PlainTable2"/>
        <w:tblW w:w="0" w:type="auto"/>
        <w:tblLook w:val="04A0" w:firstRow="1" w:lastRow="0" w:firstColumn="1" w:lastColumn="0" w:noHBand="0" w:noVBand="1"/>
      </w:tblPr>
      <w:tblGrid>
        <w:gridCol w:w="4680"/>
        <w:gridCol w:w="4680"/>
      </w:tblGrid>
      <w:tr w:rsidR="00AD2496" w:rsidRPr="0001760F" w14:paraId="1AA507A7" w14:textId="77777777" w:rsidTr="00DD258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0AA8BA1A" w14:textId="24E82A39" w:rsidR="00AD2496" w:rsidRPr="0001760F" w:rsidRDefault="00D053E5" w:rsidP="00DD2586">
            <w:pPr>
              <w:pStyle w:val="BodyText"/>
              <w:spacing w:after="0"/>
              <w:rPr>
                <w:sz w:val="16"/>
              </w:rPr>
            </w:pPr>
            <w:r w:rsidRPr="0001760F">
              <w:rPr>
                <w:sz w:val="16"/>
              </w:rPr>
              <w:t>Pricing (per class)</w:t>
            </w:r>
          </w:p>
        </w:tc>
        <w:tc>
          <w:tcPr>
            <w:tcW w:w="4680" w:type="dxa"/>
            <w:vAlign w:val="center"/>
          </w:tcPr>
          <w:p w14:paraId="05F81E0A" w14:textId="77777777" w:rsidR="00AD2496" w:rsidRPr="0001760F" w:rsidRDefault="00AD2496" w:rsidP="00DD2586">
            <w:pPr>
              <w:pStyle w:val="BodyText"/>
              <w:spacing w:after="0"/>
              <w:cnfStyle w:val="100000000000" w:firstRow="1" w:lastRow="0" w:firstColumn="0" w:lastColumn="0" w:oddVBand="0" w:evenVBand="0" w:oddHBand="0" w:evenHBand="0" w:firstRowFirstColumn="0" w:firstRowLastColumn="0" w:lastRowFirstColumn="0" w:lastRowLastColumn="0"/>
              <w:rPr>
                <w:sz w:val="16"/>
              </w:rPr>
            </w:pPr>
          </w:p>
        </w:tc>
      </w:tr>
      <w:tr w:rsidR="00AD2496" w:rsidRPr="0001760F" w14:paraId="58A399E7" w14:textId="77777777" w:rsidTr="00DD25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482356FA" w14:textId="3C723C34" w:rsidR="00AD2496" w:rsidRPr="00DD2586" w:rsidRDefault="00D053E5" w:rsidP="00DD2586">
            <w:pPr>
              <w:pStyle w:val="BodyText"/>
              <w:spacing w:after="0"/>
              <w:rPr>
                <w:b w:val="0"/>
                <w:sz w:val="16"/>
              </w:rPr>
            </w:pPr>
            <w:r w:rsidRPr="00DD2586">
              <w:rPr>
                <w:b w:val="0"/>
                <w:sz w:val="16"/>
              </w:rPr>
              <w:t>Worldwide Watch</w:t>
            </w:r>
          </w:p>
        </w:tc>
        <w:tc>
          <w:tcPr>
            <w:tcW w:w="4680" w:type="dxa"/>
            <w:vAlign w:val="center"/>
          </w:tcPr>
          <w:p w14:paraId="0ECC8F56" w14:textId="77777777" w:rsidR="00AD2496" w:rsidRPr="0001760F" w:rsidRDefault="00AD2496" w:rsidP="00DD2586">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r w:rsidR="00AD2496" w:rsidRPr="0001760F" w14:paraId="400257FE" w14:textId="77777777" w:rsidTr="00DD2586">
        <w:trPr>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17540D96" w14:textId="080D6532" w:rsidR="00D053E5" w:rsidRPr="00DD2586" w:rsidRDefault="00D053E5" w:rsidP="00DD2586">
            <w:pPr>
              <w:pStyle w:val="BodyText"/>
              <w:spacing w:after="0"/>
              <w:rPr>
                <w:b w:val="0"/>
                <w:sz w:val="16"/>
              </w:rPr>
            </w:pPr>
            <w:r w:rsidRPr="00DD2586">
              <w:rPr>
                <w:b w:val="0"/>
                <w:sz w:val="16"/>
              </w:rPr>
              <w:t>Worldwide Watch (all classes)</w:t>
            </w:r>
          </w:p>
        </w:tc>
        <w:tc>
          <w:tcPr>
            <w:tcW w:w="4680" w:type="dxa"/>
            <w:vAlign w:val="center"/>
          </w:tcPr>
          <w:p w14:paraId="0E99DEBB" w14:textId="77777777" w:rsidR="00AD2496" w:rsidRPr="0001760F" w:rsidRDefault="00AD2496" w:rsidP="00DD2586">
            <w:pPr>
              <w:pStyle w:val="BodyText"/>
              <w:spacing w:after="0"/>
              <w:cnfStyle w:val="000000000000" w:firstRow="0" w:lastRow="0" w:firstColumn="0" w:lastColumn="0" w:oddVBand="0" w:evenVBand="0" w:oddHBand="0" w:evenHBand="0" w:firstRowFirstColumn="0" w:firstRowLastColumn="0" w:lastRowFirstColumn="0" w:lastRowLastColumn="0"/>
              <w:rPr>
                <w:sz w:val="16"/>
              </w:rPr>
            </w:pPr>
          </w:p>
        </w:tc>
      </w:tr>
      <w:tr w:rsidR="00AD2496" w:rsidRPr="0001760F" w14:paraId="39CB1C94" w14:textId="77777777" w:rsidTr="00DD25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34F67D9F" w14:textId="74BDE9F3" w:rsidR="00AD2496" w:rsidRPr="00DD2586" w:rsidRDefault="00D053E5" w:rsidP="00DD2586">
            <w:pPr>
              <w:pStyle w:val="BodyText"/>
              <w:spacing w:after="0"/>
              <w:rPr>
                <w:b w:val="0"/>
                <w:sz w:val="16"/>
              </w:rPr>
            </w:pPr>
            <w:r w:rsidRPr="00DD2586">
              <w:rPr>
                <w:b w:val="0"/>
                <w:sz w:val="16"/>
              </w:rPr>
              <w:t>Asia and Australia</w:t>
            </w:r>
          </w:p>
        </w:tc>
        <w:tc>
          <w:tcPr>
            <w:tcW w:w="4680" w:type="dxa"/>
            <w:vAlign w:val="center"/>
          </w:tcPr>
          <w:p w14:paraId="6F3E0823" w14:textId="77777777" w:rsidR="00AD2496" w:rsidRPr="0001760F" w:rsidRDefault="00AD2496" w:rsidP="00DD2586">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r w:rsidR="00AD2496" w:rsidRPr="0001760F" w14:paraId="6C60C419" w14:textId="77777777" w:rsidTr="00DD2586">
        <w:trPr>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401428F7" w14:textId="70FE3C66" w:rsidR="00AD2496" w:rsidRPr="00DD2586" w:rsidRDefault="00FF17DE" w:rsidP="00DD2586">
            <w:pPr>
              <w:pStyle w:val="BodyText"/>
              <w:spacing w:after="0"/>
              <w:rPr>
                <w:b w:val="0"/>
                <w:sz w:val="16"/>
              </w:rPr>
            </w:pPr>
            <w:r w:rsidRPr="00DD2586">
              <w:rPr>
                <w:b w:val="0"/>
                <w:sz w:val="16"/>
              </w:rPr>
              <w:t>Europe</w:t>
            </w:r>
          </w:p>
        </w:tc>
        <w:tc>
          <w:tcPr>
            <w:tcW w:w="4680" w:type="dxa"/>
            <w:vAlign w:val="center"/>
          </w:tcPr>
          <w:p w14:paraId="60746558" w14:textId="77777777" w:rsidR="00AD2496" w:rsidRPr="0001760F" w:rsidRDefault="00AD2496" w:rsidP="00DD2586">
            <w:pPr>
              <w:pStyle w:val="BodyText"/>
              <w:spacing w:after="0"/>
              <w:cnfStyle w:val="000000000000" w:firstRow="0" w:lastRow="0" w:firstColumn="0" w:lastColumn="0" w:oddVBand="0" w:evenVBand="0" w:oddHBand="0" w:evenHBand="0" w:firstRowFirstColumn="0" w:firstRowLastColumn="0" w:lastRowFirstColumn="0" w:lastRowLastColumn="0"/>
              <w:rPr>
                <w:sz w:val="16"/>
              </w:rPr>
            </w:pPr>
          </w:p>
        </w:tc>
      </w:tr>
      <w:tr w:rsidR="00AD2496" w:rsidRPr="0001760F" w14:paraId="4B9C3287" w14:textId="77777777" w:rsidTr="00DD25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574FD8D5" w14:textId="668E0F75" w:rsidR="00AD2496" w:rsidRPr="00DD2586" w:rsidRDefault="00FF17DE" w:rsidP="00DD2586">
            <w:pPr>
              <w:pStyle w:val="BodyText"/>
              <w:spacing w:after="0"/>
              <w:rPr>
                <w:b w:val="0"/>
                <w:sz w:val="16"/>
              </w:rPr>
            </w:pPr>
            <w:r w:rsidRPr="00DD2586">
              <w:rPr>
                <w:b w:val="0"/>
                <w:sz w:val="16"/>
              </w:rPr>
              <w:t>European Union</w:t>
            </w:r>
          </w:p>
        </w:tc>
        <w:tc>
          <w:tcPr>
            <w:tcW w:w="4680" w:type="dxa"/>
            <w:vAlign w:val="center"/>
          </w:tcPr>
          <w:p w14:paraId="2D3E56FF" w14:textId="77777777" w:rsidR="00AD2496" w:rsidRPr="0001760F" w:rsidRDefault="00AD2496" w:rsidP="00DD2586">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r w:rsidR="00AD2496" w:rsidRPr="0001760F" w14:paraId="05E7385B" w14:textId="77777777" w:rsidTr="00DD2586">
        <w:trPr>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424B403B" w14:textId="647E9865" w:rsidR="00AD2496" w:rsidRPr="00DD2586" w:rsidRDefault="00FF17DE" w:rsidP="00DD2586">
            <w:pPr>
              <w:pStyle w:val="BodyText"/>
              <w:spacing w:after="0"/>
              <w:rPr>
                <w:b w:val="0"/>
                <w:sz w:val="16"/>
              </w:rPr>
            </w:pPr>
            <w:r w:rsidRPr="00DD2586">
              <w:rPr>
                <w:b w:val="0"/>
                <w:sz w:val="16"/>
              </w:rPr>
              <w:t>Individual Country</w:t>
            </w:r>
          </w:p>
        </w:tc>
        <w:tc>
          <w:tcPr>
            <w:tcW w:w="4680" w:type="dxa"/>
            <w:vAlign w:val="center"/>
          </w:tcPr>
          <w:p w14:paraId="5BEBF372" w14:textId="77777777" w:rsidR="00AD2496" w:rsidRPr="0001760F" w:rsidRDefault="00AD2496" w:rsidP="00DD2586">
            <w:pPr>
              <w:pStyle w:val="BodyText"/>
              <w:spacing w:after="0"/>
              <w:cnfStyle w:val="000000000000" w:firstRow="0" w:lastRow="0" w:firstColumn="0" w:lastColumn="0" w:oddVBand="0" w:evenVBand="0" w:oddHBand="0" w:evenHBand="0" w:firstRowFirstColumn="0" w:firstRowLastColumn="0" w:lastRowFirstColumn="0" w:lastRowLastColumn="0"/>
              <w:rPr>
                <w:sz w:val="16"/>
              </w:rPr>
            </w:pPr>
          </w:p>
        </w:tc>
      </w:tr>
      <w:tr w:rsidR="00FF17DE" w:rsidRPr="0001760F" w14:paraId="0807AAB6" w14:textId="77777777" w:rsidTr="00DD25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084AD171" w14:textId="299D5D1B" w:rsidR="00FF17DE" w:rsidRPr="00DD2586" w:rsidRDefault="00FF17DE" w:rsidP="00DD2586">
            <w:pPr>
              <w:pStyle w:val="BodyText"/>
              <w:spacing w:after="0"/>
              <w:rPr>
                <w:b w:val="0"/>
                <w:sz w:val="16"/>
              </w:rPr>
            </w:pPr>
            <w:r w:rsidRPr="00DD2586">
              <w:rPr>
                <w:b w:val="0"/>
                <w:sz w:val="16"/>
              </w:rPr>
              <w:t>Madrid Protocol and Madrid Agreement countries</w:t>
            </w:r>
          </w:p>
        </w:tc>
        <w:tc>
          <w:tcPr>
            <w:tcW w:w="4680" w:type="dxa"/>
            <w:vAlign w:val="center"/>
          </w:tcPr>
          <w:p w14:paraId="39518929" w14:textId="77777777" w:rsidR="00FF17DE" w:rsidRPr="0001760F" w:rsidRDefault="00FF17DE" w:rsidP="00DD2586">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r w:rsidR="00FF17DE" w:rsidRPr="0001760F" w14:paraId="50A6EF4D" w14:textId="77777777" w:rsidTr="00DD2586">
        <w:trPr>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65A24A8C" w14:textId="147AA225" w:rsidR="00FF17DE" w:rsidRPr="00DD2586" w:rsidRDefault="00FF17DE" w:rsidP="00DD2586">
            <w:pPr>
              <w:pStyle w:val="BodyText"/>
              <w:spacing w:after="0"/>
              <w:rPr>
                <w:b w:val="0"/>
                <w:sz w:val="16"/>
              </w:rPr>
            </w:pPr>
            <w:r w:rsidRPr="00DD2586">
              <w:rPr>
                <w:b w:val="0"/>
                <w:sz w:val="16"/>
              </w:rPr>
              <w:t>Middle East and Africa</w:t>
            </w:r>
          </w:p>
        </w:tc>
        <w:tc>
          <w:tcPr>
            <w:tcW w:w="4680" w:type="dxa"/>
            <w:vAlign w:val="center"/>
          </w:tcPr>
          <w:p w14:paraId="1E12C1F1" w14:textId="77777777" w:rsidR="00FF17DE" w:rsidRPr="0001760F" w:rsidRDefault="00FF17DE" w:rsidP="00DD2586">
            <w:pPr>
              <w:pStyle w:val="BodyText"/>
              <w:spacing w:after="0"/>
              <w:cnfStyle w:val="000000000000" w:firstRow="0" w:lastRow="0" w:firstColumn="0" w:lastColumn="0" w:oddVBand="0" w:evenVBand="0" w:oddHBand="0" w:evenHBand="0" w:firstRowFirstColumn="0" w:firstRowLastColumn="0" w:lastRowFirstColumn="0" w:lastRowLastColumn="0"/>
              <w:rPr>
                <w:sz w:val="16"/>
              </w:rPr>
            </w:pPr>
          </w:p>
        </w:tc>
      </w:tr>
      <w:tr w:rsidR="00FF17DE" w:rsidRPr="0001760F" w14:paraId="7D42C6C3" w14:textId="77777777" w:rsidTr="00DD25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0F3BAD30" w14:textId="23385D74" w:rsidR="00FF17DE" w:rsidRPr="00DD2586" w:rsidRDefault="00FF17DE" w:rsidP="00DD2586">
            <w:pPr>
              <w:pStyle w:val="BodyText"/>
              <w:spacing w:after="0"/>
              <w:rPr>
                <w:b w:val="0"/>
                <w:sz w:val="16"/>
              </w:rPr>
            </w:pPr>
            <w:r w:rsidRPr="00DD2586">
              <w:rPr>
                <w:b w:val="0"/>
                <w:sz w:val="16"/>
              </w:rPr>
              <w:t>South and Central America, US Federal and Canada</w:t>
            </w:r>
          </w:p>
        </w:tc>
        <w:tc>
          <w:tcPr>
            <w:tcW w:w="4680" w:type="dxa"/>
            <w:vAlign w:val="center"/>
          </w:tcPr>
          <w:p w14:paraId="7F6FC0C2" w14:textId="77777777" w:rsidR="00FF17DE" w:rsidRPr="0001760F" w:rsidRDefault="00FF17DE" w:rsidP="00DD2586">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r w:rsidR="00FF17DE" w:rsidRPr="0001760F" w14:paraId="229C2708" w14:textId="77777777" w:rsidTr="00DD2586">
        <w:trPr>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68848628" w14:textId="1EE4DCAC" w:rsidR="00FF17DE" w:rsidRPr="00DD2586" w:rsidRDefault="00946316" w:rsidP="00DD2586">
            <w:pPr>
              <w:pStyle w:val="BodyText"/>
              <w:spacing w:after="0"/>
              <w:rPr>
                <w:b w:val="0"/>
                <w:sz w:val="16"/>
              </w:rPr>
            </w:pPr>
            <w:r w:rsidRPr="00DD2586">
              <w:rPr>
                <w:b w:val="0"/>
                <w:sz w:val="16"/>
              </w:rPr>
              <w:t>Any additional country/register</w:t>
            </w:r>
          </w:p>
        </w:tc>
        <w:tc>
          <w:tcPr>
            <w:tcW w:w="4680" w:type="dxa"/>
            <w:vAlign w:val="center"/>
          </w:tcPr>
          <w:p w14:paraId="3F1BA52B" w14:textId="77777777" w:rsidR="00FF17DE" w:rsidRPr="0001760F" w:rsidRDefault="00FF17DE" w:rsidP="00DD2586">
            <w:pPr>
              <w:pStyle w:val="BodyText"/>
              <w:spacing w:after="0"/>
              <w:cnfStyle w:val="000000000000" w:firstRow="0" w:lastRow="0" w:firstColumn="0" w:lastColumn="0" w:oddVBand="0" w:evenVBand="0" w:oddHBand="0" w:evenHBand="0" w:firstRowFirstColumn="0" w:firstRowLastColumn="0" w:lastRowFirstColumn="0" w:lastRowLastColumn="0"/>
              <w:rPr>
                <w:sz w:val="16"/>
              </w:rPr>
            </w:pPr>
          </w:p>
        </w:tc>
      </w:tr>
    </w:tbl>
    <w:p w14:paraId="25F7A66D" w14:textId="77777777" w:rsidR="005D5C21" w:rsidRDefault="005D5C21" w:rsidP="005D5C21">
      <w:pPr>
        <w:spacing w:before="124"/>
        <w:rPr>
          <w:sz w:val="12"/>
        </w:rPr>
      </w:pPr>
      <w:r>
        <w:rPr>
          <w:sz w:val="12"/>
        </w:rPr>
        <w:t>Base coverage includes one class. Additional class coverage is available. Pricing by region is available by request</w:t>
      </w:r>
    </w:p>
    <w:p w14:paraId="3B84370E" w14:textId="0A96EBC2" w:rsidR="002172E4" w:rsidRDefault="002172E4" w:rsidP="002172E4">
      <w:pPr>
        <w:pStyle w:val="BodyText"/>
      </w:pPr>
    </w:p>
    <w:p w14:paraId="16AB6BB9" w14:textId="77777777" w:rsidR="004D047B" w:rsidRDefault="004D047B" w:rsidP="00150F45">
      <w:pPr>
        <w:pStyle w:val="BodyText"/>
        <w:rPr>
          <w:b/>
          <w:lang w:val="en-US"/>
        </w:rPr>
      </w:pPr>
    </w:p>
    <w:p w14:paraId="169C432C" w14:textId="18A54096" w:rsidR="003D69BB" w:rsidRPr="00150F45" w:rsidRDefault="003D69BB" w:rsidP="00150F45">
      <w:pPr>
        <w:pStyle w:val="BodyText"/>
        <w:rPr>
          <w:b/>
          <w:lang w:val="en-US"/>
        </w:rPr>
      </w:pPr>
      <w:r w:rsidRPr="00150F45">
        <w:rPr>
          <w:b/>
          <w:lang w:val="en-US"/>
        </w:rPr>
        <w:lastRenderedPageBreak/>
        <w:t>Other international watches</w:t>
      </w:r>
    </w:p>
    <w:p w14:paraId="476F5EB7" w14:textId="3CFC1F55" w:rsidR="003D69BB" w:rsidRPr="004D047B" w:rsidRDefault="003D69BB" w:rsidP="003D69BB">
      <w:pPr>
        <w:pStyle w:val="BodyText"/>
        <w:numPr>
          <w:ilvl w:val="0"/>
          <w:numId w:val="6"/>
        </w:numPr>
        <w:rPr>
          <w:lang w:val="en-US"/>
        </w:rPr>
      </w:pPr>
      <w:r w:rsidRPr="003D69BB">
        <w:rPr>
          <w:b/>
          <w:lang w:val="en-US"/>
        </w:rPr>
        <w:t>International Business Name Watch:</w:t>
      </w:r>
      <w:r w:rsidRPr="003D69BB">
        <w:rPr>
          <w:lang w:val="en-US"/>
        </w:rPr>
        <w:t xml:space="preserve"> Protect your business name and trademarks from potential infringement with monthly reports on business names in use across 212 countries. Coverage includes names found in news and media, mergers and acquisitions, government registries, and financial data.</w:t>
      </w:r>
    </w:p>
    <w:p w14:paraId="78C5F13A" w14:textId="5FF90DB0" w:rsidR="003D69BB" w:rsidRPr="003D69BB" w:rsidRDefault="003D69BB" w:rsidP="003D69BB">
      <w:pPr>
        <w:pStyle w:val="BodyText"/>
        <w:numPr>
          <w:ilvl w:val="0"/>
          <w:numId w:val="6"/>
        </w:numPr>
        <w:rPr>
          <w:lang w:val="en-US"/>
        </w:rPr>
      </w:pPr>
      <w:r w:rsidRPr="003D69BB">
        <w:rPr>
          <w:b/>
          <w:lang w:val="en-US"/>
        </w:rPr>
        <w:t>International Class Watch:</w:t>
      </w:r>
      <w:r w:rsidRPr="003D69BB">
        <w:rPr>
          <w:lang w:val="en-US"/>
        </w:rPr>
        <w:t xml:space="preserve"> Gain insight into global industry trends by monitoring trademark publications across a single class,</w:t>
      </w:r>
      <w:r>
        <w:rPr>
          <w:lang w:val="en-US"/>
        </w:rPr>
        <w:t xml:space="preserve"> </w:t>
      </w:r>
      <w:r w:rsidRPr="003D69BB">
        <w:rPr>
          <w:lang w:val="en-US"/>
        </w:rPr>
        <w:t>including word and device marks. This is a cost-effective solution for protecting a suite of secondary brands for the first time.</w:t>
      </w:r>
    </w:p>
    <w:p w14:paraId="6C5CF14B" w14:textId="6F10C14F" w:rsidR="003D69BB" w:rsidRPr="003D69BB" w:rsidRDefault="003D69BB" w:rsidP="003D69BB">
      <w:pPr>
        <w:pStyle w:val="BodyText"/>
        <w:numPr>
          <w:ilvl w:val="0"/>
          <w:numId w:val="6"/>
        </w:numPr>
        <w:rPr>
          <w:lang w:val="en-US"/>
        </w:rPr>
      </w:pPr>
      <w:r w:rsidRPr="003D69BB">
        <w:rPr>
          <w:b/>
          <w:lang w:val="en-US"/>
        </w:rPr>
        <w:t>Color Watch:</w:t>
      </w:r>
      <w:r w:rsidRPr="003D69BB">
        <w:rPr>
          <w:lang w:val="en-US"/>
        </w:rPr>
        <w:t xml:space="preserve"> Reports word and design images corresponding to your color or color combination in 128 countries.</w:t>
      </w:r>
    </w:p>
    <w:p w14:paraId="5ADF37FC" w14:textId="4591917B" w:rsidR="003D69BB" w:rsidRPr="003D69BB" w:rsidRDefault="003D69BB" w:rsidP="003D69BB">
      <w:pPr>
        <w:pStyle w:val="BodyText"/>
        <w:numPr>
          <w:ilvl w:val="0"/>
          <w:numId w:val="6"/>
        </w:numPr>
        <w:rPr>
          <w:lang w:val="en-US"/>
        </w:rPr>
      </w:pPr>
      <w:r w:rsidRPr="003D69BB">
        <w:rPr>
          <w:b/>
          <w:lang w:val="en-US"/>
        </w:rPr>
        <w:t>Community Design Watch:</w:t>
      </w:r>
      <w:r w:rsidRPr="003D69BB">
        <w:rPr>
          <w:lang w:val="en-US"/>
        </w:rPr>
        <w:t xml:space="preserve"> Identifies confusingly similar industrial designs or logos.</w:t>
      </w:r>
    </w:p>
    <w:p w14:paraId="00C66E42" w14:textId="11B1706F" w:rsidR="001B32B9" w:rsidRDefault="001B32B9" w:rsidP="002172E4">
      <w:pPr>
        <w:pStyle w:val="BodyText"/>
      </w:pPr>
    </w:p>
    <w:p w14:paraId="0A05CE30" w14:textId="77777777" w:rsidR="00D5108C" w:rsidRDefault="00D5108C" w:rsidP="00D5108C">
      <w:pPr>
        <w:pStyle w:val="Heading2"/>
      </w:pPr>
      <w:r>
        <w:t>United States watching solutions</w:t>
      </w:r>
    </w:p>
    <w:p w14:paraId="2C785C6C" w14:textId="77777777" w:rsidR="004D047B" w:rsidRDefault="00261035" w:rsidP="00150F45">
      <w:pPr>
        <w:pStyle w:val="BodyText"/>
        <w:rPr>
          <w:lang w:val="en-US"/>
        </w:rPr>
      </w:pPr>
      <w:r w:rsidRPr="00261035">
        <w:rPr>
          <w:lang w:val="en-US"/>
        </w:rPr>
        <w:t>Build a focused trademark protection strategy in the United States with special offerings designed to identify potentially confusing marks throughout the registration process.</w:t>
      </w:r>
    </w:p>
    <w:p w14:paraId="543B5D57" w14:textId="614B9AA3" w:rsidR="00610FF2" w:rsidRDefault="00610FF2" w:rsidP="00150F45">
      <w:pPr>
        <w:pStyle w:val="BodyText"/>
        <w:rPr>
          <w:b/>
          <w:lang w:val="en-US"/>
        </w:rPr>
      </w:pPr>
      <w:r w:rsidRPr="00610FF2">
        <w:rPr>
          <w:b/>
          <w:lang w:val="en-US"/>
        </w:rPr>
        <w:t>USPTO Pending Application Watch</w:t>
      </w:r>
    </w:p>
    <w:p w14:paraId="268B7CF6" w14:textId="5591F13E" w:rsidR="00AD2496" w:rsidRDefault="006A5766" w:rsidP="006A5766">
      <w:pPr>
        <w:pStyle w:val="BodyText"/>
        <w:rPr>
          <w:lang w:val="en-US"/>
        </w:rPr>
      </w:pPr>
      <w:r w:rsidRPr="006A5766">
        <w:rPr>
          <w:lang w:val="en-US"/>
        </w:rPr>
        <w:t>Watch your trademark each week against newly filed USPTO trademark applications. Receive notifications of potentially</w:t>
      </w:r>
      <w:r>
        <w:rPr>
          <w:lang w:val="en-US"/>
        </w:rPr>
        <w:t xml:space="preserve"> </w:t>
      </w:r>
      <w:r w:rsidRPr="006A5766">
        <w:rPr>
          <w:lang w:val="en-US"/>
        </w:rPr>
        <w:t>conflicting marks before they are published for opposition.</w:t>
      </w:r>
    </w:p>
    <w:tbl>
      <w:tblPr>
        <w:tblStyle w:val="PlainTable2"/>
        <w:tblW w:w="0" w:type="auto"/>
        <w:tblLook w:val="04A0" w:firstRow="1" w:lastRow="0" w:firstColumn="1" w:lastColumn="0" w:noHBand="0" w:noVBand="1"/>
      </w:tblPr>
      <w:tblGrid>
        <w:gridCol w:w="4680"/>
        <w:gridCol w:w="4680"/>
      </w:tblGrid>
      <w:tr w:rsidR="00CD4F20" w:rsidRPr="0001760F" w14:paraId="6D723244" w14:textId="77777777" w:rsidTr="005117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3C9302F5" w14:textId="73EEBAF9" w:rsidR="00CD4F20" w:rsidRPr="0001760F" w:rsidRDefault="00CD4F20" w:rsidP="0051177E">
            <w:pPr>
              <w:pStyle w:val="BodyText"/>
              <w:spacing w:after="0"/>
              <w:rPr>
                <w:sz w:val="16"/>
              </w:rPr>
            </w:pPr>
            <w:r>
              <w:rPr>
                <w:sz w:val="16"/>
              </w:rPr>
              <w:t>Pricing</w:t>
            </w:r>
          </w:p>
        </w:tc>
        <w:tc>
          <w:tcPr>
            <w:tcW w:w="4680" w:type="dxa"/>
            <w:vAlign w:val="center"/>
          </w:tcPr>
          <w:p w14:paraId="6EE54AC4" w14:textId="77777777" w:rsidR="00CD4F20" w:rsidRPr="0001760F" w:rsidRDefault="00CD4F20" w:rsidP="0051177E">
            <w:pPr>
              <w:pStyle w:val="BodyText"/>
              <w:spacing w:after="0"/>
              <w:cnfStyle w:val="100000000000" w:firstRow="1" w:lastRow="0" w:firstColumn="0" w:lastColumn="0" w:oddVBand="0" w:evenVBand="0" w:oddHBand="0" w:evenHBand="0" w:firstRowFirstColumn="0" w:firstRowLastColumn="0" w:lastRowFirstColumn="0" w:lastRowLastColumn="0"/>
              <w:rPr>
                <w:sz w:val="16"/>
              </w:rPr>
            </w:pPr>
          </w:p>
        </w:tc>
      </w:tr>
      <w:tr w:rsidR="00CD4F20" w:rsidRPr="0001760F" w14:paraId="594BC36F" w14:textId="77777777" w:rsidTr="005117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50FF5EA7" w14:textId="2DC5A5EE" w:rsidR="00CD4F20" w:rsidRPr="00DD2586" w:rsidRDefault="00CD4F20" w:rsidP="0051177E">
            <w:pPr>
              <w:pStyle w:val="BodyText"/>
              <w:spacing w:after="0"/>
              <w:rPr>
                <w:b w:val="0"/>
                <w:sz w:val="16"/>
              </w:rPr>
            </w:pPr>
            <w:r>
              <w:rPr>
                <w:b w:val="0"/>
                <w:sz w:val="16"/>
              </w:rPr>
              <w:t>USPTO Pending Application Watch</w:t>
            </w:r>
          </w:p>
        </w:tc>
        <w:tc>
          <w:tcPr>
            <w:tcW w:w="4680" w:type="dxa"/>
            <w:vAlign w:val="center"/>
          </w:tcPr>
          <w:p w14:paraId="6FDF018F" w14:textId="77777777" w:rsidR="00CD4F20" w:rsidRPr="0001760F" w:rsidRDefault="00CD4F20" w:rsidP="0051177E">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bl>
    <w:p w14:paraId="47BE571E" w14:textId="6C20EC3E" w:rsidR="006A5766" w:rsidRDefault="006A5766" w:rsidP="006A5766">
      <w:pPr>
        <w:pStyle w:val="BodyText"/>
        <w:rPr>
          <w:lang w:val="en-US"/>
        </w:rPr>
      </w:pPr>
    </w:p>
    <w:p w14:paraId="4AADFD02" w14:textId="77777777" w:rsidR="009C3811" w:rsidRDefault="009C3811" w:rsidP="00CD4F20">
      <w:pPr>
        <w:pStyle w:val="BodyText"/>
        <w:rPr>
          <w:b/>
          <w:lang w:val="en-US"/>
        </w:rPr>
      </w:pPr>
      <w:r w:rsidRPr="009C3811">
        <w:rPr>
          <w:b/>
          <w:lang w:val="en-US"/>
        </w:rPr>
        <w:t>USPTO Official Gazette Watch</w:t>
      </w:r>
    </w:p>
    <w:p w14:paraId="3B032638" w14:textId="2FCFE506" w:rsidR="00CD4F20" w:rsidRDefault="00A7315F" w:rsidP="00A7315F">
      <w:pPr>
        <w:pStyle w:val="BodyText"/>
        <w:rPr>
          <w:lang w:val="en-US"/>
        </w:rPr>
      </w:pPr>
      <w:r w:rsidRPr="00A7315F">
        <w:rPr>
          <w:lang w:val="en-US"/>
        </w:rPr>
        <w:t>Watch your trademark each week against newly published USPTO trademark applications. Receive</w:t>
      </w:r>
      <w:r>
        <w:rPr>
          <w:lang w:val="en-US"/>
        </w:rPr>
        <w:t xml:space="preserve"> </w:t>
      </w:r>
      <w:r w:rsidRPr="00A7315F">
        <w:rPr>
          <w:lang w:val="en-US"/>
        </w:rPr>
        <w:t>notifications of potentially conflicting marks five business days after the publication of the Official Gazette.</w:t>
      </w:r>
    </w:p>
    <w:tbl>
      <w:tblPr>
        <w:tblStyle w:val="PlainTable2"/>
        <w:tblW w:w="0" w:type="auto"/>
        <w:tblLook w:val="04A0" w:firstRow="1" w:lastRow="0" w:firstColumn="1" w:lastColumn="0" w:noHBand="0" w:noVBand="1"/>
      </w:tblPr>
      <w:tblGrid>
        <w:gridCol w:w="4680"/>
        <w:gridCol w:w="4680"/>
      </w:tblGrid>
      <w:tr w:rsidR="00CD4F20" w:rsidRPr="0001760F" w14:paraId="072AD24B" w14:textId="77777777" w:rsidTr="005117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02DE0E9F" w14:textId="77777777" w:rsidR="00CD4F20" w:rsidRPr="0001760F" w:rsidRDefault="00CD4F20" w:rsidP="0051177E">
            <w:pPr>
              <w:pStyle w:val="BodyText"/>
              <w:spacing w:after="0"/>
              <w:rPr>
                <w:sz w:val="16"/>
              </w:rPr>
            </w:pPr>
            <w:r>
              <w:rPr>
                <w:sz w:val="16"/>
              </w:rPr>
              <w:t>Pricing</w:t>
            </w:r>
          </w:p>
        </w:tc>
        <w:tc>
          <w:tcPr>
            <w:tcW w:w="4680" w:type="dxa"/>
            <w:vAlign w:val="center"/>
          </w:tcPr>
          <w:p w14:paraId="1BE3A482" w14:textId="77777777" w:rsidR="00CD4F20" w:rsidRPr="0001760F" w:rsidRDefault="00CD4F20" w:rsidP="0051177E">
            <w:pPr>
              <w:pStyle w:val="BodyText"/>
              <w:spacing w:after="0"/>
              <w:cnfStyle w:val="100000000000" w:firstRow="1" w:lastRow="0" w:firstColumn="0" w:lastColumn="0" w:oddVBand="0" w:evenVBand="0" w:oddHBand="0" w:evenHBand="0" w:firstRowFirstColumn="0" w:firstRowLastColumn="0" w:lastRowFirstColumn="0" w:lastRowLastColumn="0"/>
              <w:rPr>
                <w:sz w:val="16"/>
              </w:rPr>
            </w:pPr>
          </w:p>
        </w:tc>
      </w:tr>
      <w:tr w:rsidR="00CD4F20" w:rsidRPr="0001760F" w14:paraId="38EDCFBA" w14:textId="77777777" w:rsidTr="005117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10D2412B" w14:textId="1B237CC6" w:rsidR="00CD4F20" w:rsidRPr="00DD2586" w:rsidRDefault="00CD4F20" w:rsidP="0051177E">
            <w:pPr>
              <w:pStyle w:val="BodyText"/>
              <w:spacing w:after="0"/>
              <w:rPr>
                <w:b w:val="0"/>
                <w:sz w:val="16"/>
              </w:rPr>
            </w:pPr>
            <w:r>
              <w:rPr>
                <w:b w:val="0"/>
                <w:sz w:val="16"/>
              </w:rPr>
              <w:t xml:space="preserve">USPTO </w:t>
            </w:r>
            <w:r w:rsidR="00A7315F">
              <w:rPr>
                <w:b w:val="0"/>
                <w:sz w:val="16"/>
              </w:rPr>
              <w:t>Official Gazette Watch</w:t>
            </w:r>
          </w:p>
        </w:tc>
        <w:tc>
          <w:tcPr>
            <w:tcW w:w="4680" w:type="dxa"/>
            <w:vAlign w:val="center"/>
          </w:tcPr>
          <w:p w14:paraId="6D1AD1C1" w14:textId="77777777" w:rsidR="00CD4F20" w:rsidRPr="0001760F" w:rsidRDefault="00CD4F20" w:rsidP="0051177E">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bl>
    <w:p w14:paraId="4613F844" w14:textId="767B121E" w:rsidR="006A5766" w:rsidRDefault="006A5766" w:rsidP="006A5766">
      <w:pPr>
        <w:pStyle w:val="BodyText"/>
        <w:rPr>
          <w:lang w:val="en-US"/>
        </w:rPr>
      </w:pPr>
    </w:p>
    <w:p w14:paraId="56B30456" w14:textId="40B1571C" w:rsidR="00CD4F20" w:rsidRDefault="00A7315F" w:rsidP="00CD4F20">
      <w:pPr>
        <w:pStyle w:val="BodyText"/>
        <w:rPr>
          <w:b/>
          <w:lang w:val="en-US"/>
        </w:rPr>
      </w:pPr>
      <w:r>
        <w:rPr>
          <w:b/>
          <w:lang w:val="en-US"/>
        </w:rPr>
        <w:t>US Comprehensive Watch</w:t>
      </w:r>
    </w:p>
    <w:p w14:paraId="2CBA404B" w14:textId="4E6D4461" w:rsidR="00CD4F20" w:rsidRDefault="00A61DD1" w:rsidP="00A61DD1">
      <w:pPr>
        <w:pStyle w:val="BodyText"/>
        <w:rPr>
          <w:lang w:val="en-US"/>
        </w:rPr>
      </w:pPr>
      <w:r w:rsidRPr="00A61DD1">
        <w:rPr>
          <w:lang w:val="en-US"/>
        </w:rPr>
        <w:t>Provide your brand with maximum protection with coverage that includes USPTO Pending and Official Gazette,</w:t>
      </w:r>
      <w:r>
        <w:rPr>
          <w:lang w:val="en-US"/>
        </w:rPr>
        <w:t xml:space="preserve"> </w:t>
      </w:r>
      <w:r w:rsidRPr="00A61DD1">
        <w:rPr>
          <w:lang w:val="en-US"/>
        </w:rPr>
        <w:t>plus your state, common law, business name, and domain name databases</w:t>
      </w:r>
      <w:r>
        <w:rPr>
          <w:lang w:val="en-US"/>
        </w:rPr>
        <w:t>.</w:t>
      </w:r>
    </w:p>
    <w:tbl>
      <w:tblPr>
        <w:tblStyle w:val="PlainTable2"/>
        <w:tblW w:w="0" w:type="auto"/>
        <w:tblLook w:val="04A0" w:firstRow="1" w:lastRow="0" w:firstColumn="1" w:lastColumn="0" w:noHBand="0" w:noVBand="1"/>
      </w:tblPr>
      <w:tblGrid>
        <w:gridCol w:w="4680"/>
        <w:gridCol w:w="4680"/>
      </w:tblGrid>
      <w:tr w:rsidR="00CD4F20" w:rsidRPr="0001760F" w14:paraId="39FB322D" w14:textId="77777777" w:rsidTr="005117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00414A0D" w14:textId="77777777" w:rsidR="00CD4F20" w:rsidRPr="0001760F" w:rsidRDefault="00CD4F20" w:rsidP="0051177E">
            <w:pPr>
              <w:pStyle w:val="BodyText"/>
              <w:spacing w:after="0"/>
              <w:rPr>
                <w:sz w:val="16"/>
              </w:rPr>
            </w:pPr>
            <w:r>
              <w:rPr>
                <w:sz w:val="16"/>
              </w:rPr>
              <w:t>Pricing</w:t>
            </w:r>
          </w:p>
        </w:tc>
        <w:tc>
          <w:tcPr>
            <w:tcW w:w="4680" w:type="dxa"/>
            <w:vAlign w:val="center"/>
          </w:tcPr>
          <w:p w14:paraId="63C28F2A" w14:textId="77777777" w:rsidR="00CD4F20" w:rsidRPr="0001760F" w:rsidRDefault="00CD4F20" w:rsidP="0051177E">
            <w:pPr>
              <w:pStyle w:val="BodyText"/>
              <w:spacing w:after="0"/>
              <w:cnfStyle w:val="100000000000" w:firstRow="1" w:lastRow="0" w:firstColumn="0" w:lastColumn="0" w:oddVBand="0" w:evenVBand="0" w:oddHBand="0" w:evenHBand="0" w:firstRowFirstColumn="0" w:firstRowLastColumn="0" w:lastRowFirstColumn="0" w:lastRowLastColumn="0"/>
              <w:rPr>
                <w:sz w:val="16"/>
              </w:rPr>
            </w:pPr>
          </w:p>
        </w:tc>
      </w:tr>
      <w:tr w:rsidR="00CD4F20" w:rsidRPr="0001760F" w14:paraId="5C0FADBB" w14:textId="77777777" w:rsidTr="005117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74C0AA22" w14:textId="0EE4E8A3" w:rsidR="00CD4F20" w:rsidRPr="00DD2586" w:rsidRDefault="00B93382" w:rsidP="0051177E">
            <w:pPr>
              <w:pStyle w:val="BodyText"/>
              <w:spacing w:after="0"/>
              <w:rPr>
                <w:b w:val="0"/>
                <w:sz w:val="16"/>
              </w:rPr>
            </w:pPr>
            <w:r>
              <w:rPr>
                <w:b w:val="0"/>
                <w:sz w:val="16"/>
              </w:rPr>
              <w:t>With legacy gTLDs</w:t>
            </w:r>
          </w:p>
        </w:tc>
        <w:tc>
          <w:tcPr>
            <w:tcW w:w="4680" w:type="dxa"/>
            <w:vAlign w:val="center"/>
          </w:tcPr>
          <w:p w14:paraId="1E4BC6A0" w14:textId="77777777" w:rsidR="00CD4F20" w:rsidRPr="0001760F" w:rsidRDefault="00CD4F20" w:rsidP="0051177E">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r w:rsidR="00B93382" w:rsidRPr="0001760F" w14:paraId="42FBAB6E" w14:textId="77777777" w:rsidTr="0051177E">
        <w:trPr>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4206532C" w14:textId="006612E7" w:rsidR="00B93382" w:rsidRDefault="00B93382" w:rsidP="0051177E">
            <w:pPr>
              <w:pStyle w:val="BodyText"/>
              <w:spacing w:after="0"/>
              <w:rPr>
                <w:b w:val="0"/>
                <w:sz w:val="16"/>
              </w:rPr>
            </w:pPr>
            <w:r>
              <w:rPr>
                <w:b w:val="0"/>
                <w:sz w:val="16"/>
              </w:rPr>
              <w:t>With legacy gTLDs and new gTLDs</w:t>
            </w:r>
          </w:p>
        </w:tc>
        <w:tc>
          <w:tcPr>
            <w:tcW w:w="4680" w:type="dxa"/>
            <w:vAlign w:val="center"/>
          </w:tcPr>
          <w:p w14:paraId="07B19707" w14:textId="77777777" w:rsidR="00B93382" w:rsidRPr="0001760F" w:rsidRDefault="00B93382" w:rsidP="0051177E">
            <w:pPr>
              <w:pStyle w:val="BodyText"/>
              <w:spacing w:after="0"/>
              <w:cnfStyle w:val="000000000000" w:firstRow="0" w:lastRow="0" w:firstColumn="0" w:lastColumn="0" w:oddVBand="0" w:evenVBand="0" w:oddHBand="0" w:evenHBand="0" w:firstRowFirstColumn="0" w:firstRowLastColumn="0" w:lastRowFirstColumn="0" w:lastRowLastColumn="0"/>
              <w:rPr>
                <w:sz w:val="16"/>
              </w:rPr>
            </w:pPr>
          </w:p>
        </w:tc>
      </w:tr>
    </w:tbl>
    <w:p w14:paraId="6A72F1CC" w14:textId="6088D552" w:rsidR="00CD4F20" w:rsidRDefault="00CD4F20" w:rsidP="006A5766">
      <w:pPr>
        <w:pStyle w:val="BodyText"/>
        <w:rPr>
          <w:lang w:val="en-US"/>
        </w:rPr>
      </w:pPr>
    </w:p>
    <w:p w14:paraId="6A1D66AD" w14:textId="1EC5C279" w:rsidR="00CD4F20" w:rsidRDefault="00A7315F" w:rsidP="00CD4F20">
      <w:pPr>
        <w:pStyle w:val="BodyText"/>
        <w:rPr>
          <w:b/>
          <w:lang w:val="en-US"/>
        </w:rPr>
      </w:pPr>
      <w:r>
        <w:rPr>
          <w:b/>
          <w:lang w:val="en-US"/>
        </w:rPr>
        <w:t>Comprehensive US plus Worldwide Watch</w:t>
      </w:r>
    </w:p>
    <w:p w14:paraId="04F8E4E0" w14:textId="046F8210" w:rsidR="00CD4F20" w:rsidRDefault="004A7B2B" w:rsidP="004A7B2B">
      <w:pPr>
        <w:pStyle w:val="BodyText"/>
        <w:rPr>
          <w:lang w:val="en-US"/>
        </w:rPr>
      </w:pPr>
      <w:r w:rsidRPr="004A7B2B">
        <w:rPr>
          <w:lang w:val="en-US"/>
        </w:rPr>
        <w:t>This package extends the scope of our</w:t>
      </w:r>
      <w:r>
        <w:rPr>
          <w:lang w:val="en-US"/>
        </w:rPr>
        <w:t xml:space="preserve"> </w:t>
      </w:r>
      <w:r w:rsidRPr="004A7B2B">
        <w:rPr>
          <w:lang w:val="en-US"/>
        </w:rPr>
        <w:t>U.S. Watch to include USPTO Pending and Official Gazette; state, common law,</w:t>
      </w:r>
      <w:r>
        <w:rPr>
          <w:lang w:val="en-US"/>
        </w:rPr>
        <w:t xml:space="preserve"> </w:t>
      </w:r>
      <w:r w:rsidRPr="004A7B2B">
        <w:rPr>
          <w:lang w:val="en-US"/>
        </w:rPr>
        <w:t>business name and domain name databases; and worldwide coverage of more than</w:t>
      </w:r>
      <w:r>
        <w:rPr>
          <w:lang w:val="en-US"/>
        </w:rPr>
        <w:t xml:space="preserve"> </w:t>
      </w:r>
      <w:r w:rsidRPr="004A7B2B">
        <w:rPr>
          <w:lang w:val="en-US"/>
        </w:rPr>
        <w:t>200 registers.</w:t>
      </w:r>
    </w:p>
    <w:tbl>
      <w:tblPr>
        <w:tblStyle w:val="PlainTable2"/>
        <w:tblW w:w="0" w:type="auto"/>
        <w:tblLook w:val="04A0" w:firstRow="1" w:lastRow="0" w:firstColumn="1" w:lastColumn="0" w:noHBand="0" w:noVBand="1"/>
      </w:tblPr>
      <w:tblGrid>
        <w:gridCol w:w="4680"/>
        <w:gridCol w:w="4680"/>
      </w:tblGrid>
      <w:tr w:rsidR="00CD4F20" w:rsidRPr="0001760F" w14:paraId="2AA68ED6" w14:textId="77777777" w:rsidTr="005117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5B7119AC" w14:textId="77777777" w:rsidR="00CD4F20" w:rsidRPr="0001760F" w:rsidRDefault="00CD4F20" w:rsidP="0051177E">
            <w:pPr>
              <w:pStyle w:val="BodyText"/>
              <w:spacing w:after="0"/>
              <w:rPr>
                <w:sz w:val="16"/>
              </w:rPr>
            </w:pPr>
            <w:r>
              <w:rPr>
                <w:sz w:val="16"/>
              </w:rPr>
              <w:t>Pricing</w:t>
            </w:r>
          </w:p>
        </w:tc>
        <w:tc>
          <w:tcPr>
            <w:tcW w:w="4680" w:type="dxa"/>
            <w:vAlign w:val="center"/>
          </w:tcPr>
          <w:p w14:paraId="1CF2D372" w14:textId="77777777" w:rsidR="00CD4F20" w:rsidRPr="0001760F" w:rsidRDefault="00CD4F20" w:rsidP="0051177E">
            <w:pPr>
              <w:pStyle w:val="BodyText"/>
              <w:spacing w:after="0"/>
              <w:cnfStyle w:val="100000000000" w:firstRow="1" w:lastRow="0" w:firstColumn="0" w:lastColumn="0" w:oddVBand="0" w:evenVBand="0" w:oddHBand="0" w:evenHBand="0" w:firstRowFirstColumn="0" w:firstRowLastColumn="0" w:lastRowFirstColumn="0" w:lastRowLastColumn="0"/>
              <w:rPr>
                <w:sz w:val="16"/>
              </w:rPr>
            </w:pPr>
          </w:p>
        </w:tc>
      </w:tr>
      <w:tr w:rsidR="00CD4F20" w:rsidRPr="0001760F" w14:paraId="6DE0EECB" w14:textId="77777777" w:rsidTr="005117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52C27A16" w14:textId="07208B2E" w:rsidR="00CD4F20" w:rsidRPr="00DD2586" w:rsidRDefault="00B93382" w:rsidP="0051177E">
            <w:pPr>
              <w:pStyle w:val="BodyText"/>
              <w:spacing w:after="0"/>
              <w:rPr>
                <w:b w:val="0"/>
                <w:sz w:val="16"/>
              </w:rPr>
            </w:pPr>
            <w:r>
              <w:rPr>
                <w:b w:val="0"/>
                <w:sz w:val="16"/>
              </w:rPr>
              <w:t>With legacy gTLDs</w:t>
            </w:r>
          </w:p>
        </w:tc>
        <w:tc>
          <w:tcPr>
            <w:tcW w:w="4680" w:type="dxa"/>
            <w:vAlign w:val="center"/>
          </w:tcPr>
          <w:p w14:paraId="09D28FBD" w14:textId="77777777" w:rsidR="00CD4F20" w:rsidRPr="0001760F" w:rsidRDefault="00CD4F20" w:rsidP="0051177E">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r w:rsidR="00B93382" w:rsidRPr="0001760F" w14:paraId="672830A1" w14:textId="77777777" w:rsidTr="0051177E">
        <w:trPr>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41417B63" w14:textId="2FA2840F" w:rsidR="00B93382" w:rsidRDefault="00B93382" w:rsidP="0051177E">
            <w:pPr>
              <w:pStyle w:val="BodyText"/>
              <w:spacing w:after="0"/>
              <w:rPr>
                <w:b w:val="0"/>
                <w:sz w:val="16"/>
              </w:rPr>
            </w:pPr>
            <w:r>
              <w:rPr>
                <w:b w:val="0"/>
                <w:sz w:val="16"/>
              </w:rPr>
              <w:t>With legacy and new gTLDs</w:t>
            </w:r>
          </w:p>
        </w:tc>
        <w:tc>
          <w:tcPr>
            <w:tcW w:w="4680" w:type="dxa"/>
            <w:vAlign w:val="center"/>
          </w:tcPr>
          <w:p w14:paraId="08274FAC" w14:textId="77777777" w:rsidR="00B93382" w:rsidRPr="0001760F" w:rsidRDefault="00B93382" w:rsidP="0051177E">
            <w:pPr>
              <w:pStyle w:val="BodyText"/>
              <w:spacing w:after="0"/>
              <w:cnfStyle w:val="000000000000" w:firstRow="0" w:lastRow="0" w:firstColumn="0" w:lastColumn="0" w:oddVBand="0" w:evenVBand="0" w:oddHBand="0" w:evenHBand="0" w:firstRowFirstColumn="0" w:firstRowLastColumn="0" w:lastRowFirstColumn="0" w:lastRowLastColumn="0"/>
              <w:rPr>
                <w:sz w:val="16"/>
              </w:rPr>
            </w:pPr>
          </w:p>
        </w:tc>
      </w:tr>
    </w:tbl>
    <w:p w14:paraId="7C6C8453" w14:textId="77777777" w:rsidR="00CD4F20" w:rsidRDefault="00CD4F20" w:rsidP="006A5766">
      <w:pPr>
        <w:pStyle w:val="BodyText"/>
        <w:rPr>
          <w:lang w:val="en-US"/>
        </w:rPr>
      </w:pPr>
    </w:p>
    <w:p w14:paraId="42872A29" w14:textId="7E0E3D42" w:rsidR="00B93382" w:rsidRDefault="00B93382" w:rsidP="00B93382">
      <w:pPr>
        <w:pStyle w:val="Heading2"/>
      </w:pPr>
      <w:r>
        <w:lastRenderedPageBreak/>
        <w:t>Web watching solutions</w:t>
      </w:r>
    </w:p>
    <w:p w14:paraId="15036187" w14:textId="77777777" w:rsidR="00F1526E" w:rsidRDefault="00F1526E" w:rsidP="00B93382">
      <w:pPr>
        <w:pStyle w:val="BodyText"/>
        <w:rPr>
          <w:lang w:val="en-US"/>
        </w:rPr>
      </w:pPr>
      <w:r w:rsidRPr="00F1526E">
        <w:rPr>
          <w:lang w:val="en-US"/>
        </w:rPr>
        <w:t>The Web and social media are a major source of unauthorized trademark use and abuse. Watching online channels is a critical part of a comprehensive trademark protection strategy.</w:t>
      </w:r>
    </w:p>
    <w:p w14:paraId="21692100" w14:textId="2A942A86" w:rsidR="00B93382" w:rsidRDefault="00F1526E" w:rsidP="00B93382">
      <w:pPr>
        <w:pStyle w:val="BodyText"/>
        <w:rPr>
          <w:b/>
          <w:lang w:val="en-US"/>
        </w:rPr>
      </w:pPr>
      <w:r>
        <w:rPr>
          <w:b/>
          <w:lang w:val="en-US"/>
        </w:rPr>
        <w:t>Web Watch</w:t>
      </w:r>
    </w:p>
    <w:p w14:paraId="2C7104F7" w14:textId="77777777" w:rsidR="00494901" w:rsidRPr="00494901" w:rsidRDefault="00494901" w:rsidP="00494901">
      <w:pPr>
        <w:pStyle w:val="BodyText"/>
        <w:rPr>
          <w:lang w:val="en-US"/>
        </w:rPr>
      </w:pPr>
      <w:r w:rsidRPr="00494901">
        <w:rPr>
          <w:lang w:val="en-US"/>
        </w:rPr>
        <w:t>To help you protect your brand, we monitor millions of web pages for:</w:t>
      </w:r>
    </w:p>
    <w:p w14:paraId="2EB379C8" w14:textId="7AB1A3D9" w:rsidR="00494901" w:rsidRPr="00494901" w:rsidRDefault="00494901" w:rsidP="009A2E70">
      <w:pPr>
        <w:pStyle w:val="BodyText"/>
        <w:numPr>
          <w:ilvl w:val="0"/>
          <w:numId w:val="7"/>
        </w:numPr>
        <w:rPr>
          <w:lang w:val="en-US"/>
        </w:rPr>
      </w:pPr>
      <w:r w:rsidRPr="00494901">
        <w:rPr>
          <w:b/>
          <w:lang w:val="en-US"/>
        </w:rPr>
        <w:t>Misuse:</w:t>
      </w:r>
      <w:r w:rsidRPr="00494901">
        <w:rPr>
          <w:lang w:val="en-US"/>
        </w:rPr>
        <w:t xml:space="preserve"> Is your brand used generically or descriptively?</w:t>
      </w:r>
    </w:p>
    <w:p w14:paraId="429E3869" w14:textId="6B8415E0" w:rsidR="00494901" w:rsidRPr="00494901" w:rsidRDefault="00494901" w:rsidP="009A2E70">
      <w:pPr>
        <w:pStyle w:val="BodyText"/>
        <w:numPr>
          <w:ilvl w:val="0"/>
          <w:numId w:val="7"/>
        </w:numPr>
        <w:rPr>
          <w:lang w:val="en-US"/>
        </w:rPr>
      </w:pPr>
      <w:r w:rsidRPr="00494901">
        <w:rPr>
          <w:b/>
          <w:lang w:val="en-US"/>
        </w:rPr>
        <w:t>Brand identity/derogatory remarks:</w:t>
      </w:r>
      <w:r w:rsidRPr="00494901">
        <w:rPr>
          <w:lang w:val="en-US"/>
        </w:rPr>
        <w:t xml:space="preserve"> Is your brand being mentioned in a positive or negative fashion or context?</w:t>
      </w:r>
    </w:p>
    <w:p w14:paraId="4A3906CD" w14:textId="09EC69EF" w:rsidR="00494901" w:rsidRPr="009A2E70" w:rsidRDefault="00494901" w:rsidP="009A2E70">
      <w:pPr>
        <w:pStyle w:val="BodyText"/>
        <w:numPr>
          <w:ilvl w:val="0"/>
          <w:numId w:val="7"/>
        </w:numPr>
        <w:rPr>
          <w:lang w:val="en-US"/>
        </w:rPr>
      </w:pPr>
      <w:r w:rsidRPr="00494901">
        <w:rPr>
          <w:b/>
          <w:lang w:val="en-US"/>
        </w:rPr>
        <w:t>Unlicensed Use:</w:t>
      </w:r>
      <w:r w:rsidRPr="00494901">
        <w:rPr>
          <w:lang w:val="en-US"/>
        </w:rPr>
        <w:t xml:space="preserve"> Is there an unlicensed mention or sale of your brand?</w:t>
      </w:r>
    </w:p>
    <w:p w14:paraId="5923D3FE" w14:textId="0FBC3619" w:rsidR="00B93382" w:rsidRDefault="00494901" w:rsidP="00494901">
      <w:pPr>
        <w:pStyle w:val="BodyText"/>
        <w:rPr>
          <w:lang w:val="en-US"/>
        </w:rPr>
      </w:pPr>
      <w:r w:rsidRPr="00494901">
        <w:rPr>
          <w:lang w:val="en-US"/>
        </w:rPr>
        <w:t>Our clear and concise reporting includes screen shots and live links to the identified websites, as well as WHOIS information when available.</w:t>
      </w:r>
    </w:p>
    <w:tbl>
      <w:tblPr>
        <w:tblStyle w:val="PlainTable2"/>
        <w:tblW w:w="0" w:type="auto"/>
        <w:tblLook w:val="04A0" w:firstRow="1" w:lastRow="0" w:firstColumn="1" w:lastColumn="0" w:noHBand="0" w:noVBand="1"/>
      </w:tblPr>
      <w:tblGrid>
        <w:gridCol w:w="4680"/>
        <w:gridCol w:w="4680"/>
      </w:tblGrid>
      <w:tr w:rsidR="00B93382" w:rsidRPr="0001760F" w14:paraId="3D997E18" w14:textId="77777777" w:rsidTr="005117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4E888CB1" w14:textId="77777777" w:rsidR="00B93382" w:rsidRPr="0001760F" w:rsidRDefault="00B93382" w:rsidP="0051177E">
            <w:pPr>
              <w:pStyle w:val="BodyText"/>
              <w:spacing w:after="0"/>
              <w:rPr>
                <w:sz w:val="16"/>
              </w:rPr>
            </w:pPr>
            <w:r>
              <w:rPr>
                <w:sz w:val="16"/>
              </w:rPr>
              <w:t>Pricing</w:t>
            </w:r>
          </w:p>
        </w:tc>
        <w:tc>
          <w:tcPr>
            <w:tcW w:w="4680" w:type="dxa"/>
            <w:vAlign w:val="center"/>
          </w:tcPr>
          <w:p w14:paraId="678A3ED6" w14:textId="77777777" w:rsidR="00B93382" w:rsidRPr="0001760F" w:rsidRDefault="00B93382" w:rsidP="0051177E">
            <w:pPr>
              <w:pStyle w:val="BodyText"/>
              <w:spacing w:after="0"/>
              <w:cnfStyle w:val="100000000000" w:firstRow="1" w:lastRow="0" w:firstColumn="0" w:lastColumn="0" w:oddVBand="0" w:evenVBand="0" w:oddHBand="0" w:evenHBand="0" w:firstRowFirstColumn="0" w:firstRowLastColumn="0" w:lastRowFirstColumn="0" w:lastRowLastColumn="0"/>
              <w:rPr>
                <w:sz w:val="16"/>
              </w:rPr>
            </w:pPr>
          </w:p>
        </w:tc>
      </w:tr>
      <w:tr w:rsidR="00B93382" w:rsidRPr="0001760F" w14:paraId="2B802D60" w14:textId="77777777" w:rsidTr="005117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44873D34" w14:textId="5234626B" w:rsidR="00B93382" w:rsidRPr="00DD2586" w:rsidRDefault="00494901" w:rsidP="0051177E">
            <w:pPr>
              <w:pStyle w:val="BodyText"/>
              <w:spacing w:after="0"/>
              <w:rPr>
                <w:b w:val="0"/>
                <w:sz w:val="16"/>
              </w:rPr>
            </w:pPr>
            <w:r>
              <w:rPr>
                <w:b w:val="0"/>
                <w:sz w:val="16"/>
              </w:rPr>
              <w:t>Web Watch</w:t>
            </w:r>
          </w:p>
        </w:tc>
        <w:tc>
          <w:tcPr>
            <w:tcW w:w="4680" w:type="dxa"/>
            <w:vAlign w:val="center"/>
          </w:tcPr>
          <w:p w14:paraId="1343CF9B" w14:textId="77777777" w:rsidR="00B93382" w:rsidRPr="0001760F" w:rsidRDefault="00B93382" w:rsidP="0051177E">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bl>
    <w:p w14:paraId="6F597AF6" w14:textId="77777777" w:rsidR="00B93382" w:rsidRDefault="00B93382" w:rsidP="00B93382">
      <w:pPr>
        <w:pStyle w:val="BodyText"/>
        <w:rPr>
          <w:lang w:val="en-US"/>
        </w:rPr>
      </w:pPr>
    </w:p>
    <w:p w14:paraId="76360290" w14:textId="4848D361" w:rsidR="00494901" w:rsidRDefault="00494901" w:rsidP="00494901">
      <w:pPr>
        <w:pStyle w:val="BodyText"/>
        <w:rPr>
          <w:b/>
          <w:lang w:val="en-US"/>
        </w:rPr>
      </w:pPr>
      <w:r>
        <w:rPr>
          <w:b/>
          <w:lang w:val="en-US"/>
        </w:rPr>
        <w:t>Domain Name Watch</w:t>
      </w:r>
    </w:p>
    <w:p w14:paraId="110D3E2F" w14:textId="26716B9C" w:rsidR="00494901" w:rsidRPr="00494901" w:rsidRDefault="003B087A" w:rsidP="00494901">
      <w:pPr>
        <w:pStyle w:val="BodyText"/>
        <w:rPr>
          <w:lang w:val="en-US"/>
        </w:rPr>
      </w:pPr>
      <w:r w:rsidRPr="003B087A">
        <w:rPr>
          <w:lang w:val="en-US"/>
        </w:rPr>
        <w:t>Monitor newly registered domain names that could interfere with your domain name or trademark.</w:t>
      </w:r>
    </w:p>
    <w:p w14:paraId="64C05C20" w14:textId="3115F393" w:rsidR="009A2E70" w:rsidRPr="009A2E70" w:rsidRDefault="009A2E70" w:rsidP="009A2E70">
      <w:pPr>
        <w:pStyle w:val="BodyText"/>
        <w:numPr>
          <w:ilvl w:val="0"/>
          <w:numId w:val="7"/>
        </w:numPr>
        <w:rPr>
          <w:b/>
          <w:lang w:val="en-US"/>
        </w:rPr>
      </w:pPr>
      <w:r w:rsidRPr="009A2E70">
        <w:rPr>
          <w:b/>
          <w:lang w:val="en-US"/>
        </w:rPr>
        <w:t xml:space="preserve">ccTLDs and new gTLDs: </w:t>
      </w:r>
      <w:r w:rsidRPr="009A2E70">
        <w:rPr>
          <w:lang w:val="en-US"/>
        </w:rPr>
        <w:t>Reports identical, phonetically identical and closely identical domain names for ccTLDs (country code top-level domains) and the thousands of new gTLDs coming online.</w:t>
      </w:r>
    </w:p>
    <w:p w14:paraId="379D6E3A" w14:textId="3E3D4CD6" w:rsidR="00494901" w:rsidRPr="009A2E70" w:rsidRDefault="009A2E70" w:rsidP="009A2E70">
      <w:pPr>
        <w:pStyle w:val="BodyText"/>
        <w:numPr>
          <w:ilvl w:val="0"/>
          <w:numId w:val="7"/>
        </w:numPr>
        <w:rPr>
          <w:lang w:val="en-US"/>
        </w:rPr>
      </w:pPr>
      <w:r w:rsidRPr="009A2E70">
        <w:rPr>
          <w:b/>
          <w:lang w:val="en-US"/>
        </w:rPr>
        <w:t xml:space="preserve">Typo-squatting: </w:t>
      </w:r>
      <w:r w:rsidRPr="009A2E70">
        <w:rPr>
          <w:lang w:val="en-US"/>
        </w:rPr>
        <w:t>Detects domain names with intentional typos using the following criteria: “wrong key,” missing characters, double characters, reverted characters, similar characters (e.g. “I” and “1”, “O” and “0”), etc.</w:t>
      </w:r>
    </w:p>
    <w:p w14:paraId="2D9A72F9" w14:textId="77777777" w:rsidR="00494901" w:rsidRDefault="00494901" w:rsidP="00494901">
      <w:pPr>
        <w:pStyle w:val="BodyText"/>
        <w:rPr>
          <w:lang w:val="en-US"/>
        </w:rPr>
      </w:pPr>
      <w:r w:rsidRPr="00494901">
        <w:rPr>
          <w:lang w:val="en-US"/>
        </w:rPr>
        <w:t>Our clear and concise reporting includes screen shots and live links to the identified websites, as well as WHOIS information when available.</w:t>
      </w:r>
    </w:p>
    <w:tbl>
      <w:tblPr>
        <w:tblStyle w:val="PlainTable2"/>
        <w:tblW w:w="0" w:type="auto"/>
        <w:tblLook w:val="04A0" w:firstRow="1" w:lastRow="0" w:firstColumn="1" w:lastColumn="0" w:noHBand="0" w:noVBand="1"/>
      </w:tblPr>
      <w:tblGrid>
        <w:gridCol w:w="4680"/>
        <w:gridCol w:w="4680"/>
      </w:tblGrid>
      <w:tr w:rsidR="00494901" w:rsidRPr="0001760F" w14:paraId="35808270" w14:textId="77777777" w:rsidTr="005117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19399460" w14:textId="77777777" w:rsidR="00494901" w:rsidRPr="0001760F" w:rsidRDefault="00494901" w:rsidP="0051177E">
            <w:pPr>
              <w:pStyle w:val="BodyText"/>
              <w:spacing w:after="0"/>
              <w:rPr>
                <w:sz w:val="16"/>
              </w:rPr>
            </w:pPr>
            <w:r>
              <w:rPr>
                <w:sz w:val="16"/>
              </w:rPr>
              <w:t>Pricing</w:t>
            </w:r>
          </w:p>
        </w:tc>
        <w:tc>
          <w:tcPr>
            <w:tcW w:w="4680" w:type="dxa"/>
            <w:vAlign w:val="center"/>
          </w:tcPr>
          <w:p w14:paraId="50FDD927" w14:textId="77777777" w:rsidR="00494901" w:rsidRPr="0001760F" w:rsidRDefault="00494901" w:rsidP="0051177E">
            <w:pPr>
              <w:pStyle w:val="BodyText"/>
              <w:spacing w:after="0"/>
              <w:cnfStyle w:val="100000000000" w:firstRow="1" w:lastRow="0" w:firstColumn="0" w:lastColumn="0" w:oddVBand="0" w:evenVBand="0" w:oddHBand="0" w:evenHBand="0" w:firstRowFirstColumn="0" w:firstRowLastColumn="0" w:lastRowFirstColumn="0" w:lastRowLastColumn="0"/>
              <w:rPr>
                <w:sz w:val="16"/>
              </w:rPr>
            </w:pPr>
          </w:p>
        </w:tc>
      </w:tr>
      <w:tr w:rsidR="00494901" w:rsidRPr="0001760F" w14:paraId="60A05245" w14:textId="77777777" w:rsidTr="005117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1E18D14A" w14:textId="46A214F8" w:rsidR="00494901" w:rsidRPr="00DD2586" w:rsidRDefault="00F01129" w:rsidP="0051177E">
            <w:pPr>
              <w:pStyle w:val="BodyText"/>
              <w:spacing w:after="0"/>
              <w:rPr>
                <w:b w:val="0"/>
                <w:sz w:val="16"/>
              </w:rPr>
            </w:pPr>
            <w:r w:rsidRPr="00F01129">
              <w:rPr>
                <w:b w:val="0"/>
                <w:sz w:val="16"/>
              </w:rPr>
              <w:t>Domain Name Complete: gTLD + gTLD typo</w:t>
            </w:r>
            <w:r w:rsidR="00525F14">
              <w:rPr>
                <w:b w:val="0"/>
                <w:sz w:val="16"/>
              </w:rPr>
              <w:t>-</w:t>
            </w:r>
            <w:r w:rsidRPr="00F01129">
              <w:rPr>
                <w:b w:val="0"/>
                <w:sz w:val="16"/>
              </w:rPr>
              <w:t>squatting + ccTLD</w:t>
            </w:r>
          </w:p>
        </w:tc>
        <w:tc>
          <w:tcPr>
            <w:tcW w:w="4680" w:type="dxa"/>
            <w:vAlign w:val="center"/>
          </w:tcPr>
          <w:p w14:paraId="3921CC1D" w14:textId="77777777" w:rsidR="00494901" w:rsidRPr="0001760F" w:rsidRDefault="00494901" w:rsidP="0051177E">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r w:rsidR="009A2E70" w:rsidRPr="0001760F" w14:paraId="1280EE63" w14:textId="77777777" w:rsidTr="0051177E">
        <w:trPr>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1A830D85" w14:textId="058B61D3" w:rsidR="009A2E70" w:rsidRDefault="00F01129" w:rsidP="0051177E">
            <w:pPr>
              <w:pStyle w:val="BodyText"/>
              <w:spacing w:after="0"/>
              <w:rPr>
                <w:b w:val="0"/>
                <w:sz w:val="16"/>
              </w:rPr>
            </w:pPr>
            <w:r>
              <w:rPr>
                <w:b w:val="0"/>
                <w:sz w:val="16"/>
              </w:rPr>
              <w:t>ccTLD</w:t>
            </w:r>
          </w:p>
        </w:tc>
        <w:tc>
          <w:tcPr>
            <w:tcW w:w="4680" w:type="dxa"/>
            <w:vAlign w:val="center"/>
          </w:tcPr>
          <w:p w14:paraId="30AA5B65" w14:textId="77777777" w:rsidR="009A2E70" w:rsidRPr="0001760F" w:rsidRDefault="009A2E70" w:rsidP="0051177E">
            <w:pPr>
              <w:pStyle w:val="BodyText"/>
              <w:spacing w:after="0"/>
              <w:cnfStyle w:val="000000000000" w:firstRow="0" w:lastRow="0" w:firstColumn="0" w:lastColumn="0" w:oddVBand="0" w:evenVBand="0" w:oddHBand="0" w:evenHBand="0" w:firstRowFirstColumn="0" w:firstRowLastColumn="0" w:lastRowFirstColumn="0" w:lastRowLastColumn="0"/>
              <w:rPr>
                <w:sz w:val="16"/>
              </w:rPr>
            </w:pPr>
          </w:p>
        </w:tc>
      </w:tr>
      <w:tr w:rsidR="009A2E70" w:rsidRPr="0001760F" w14:paraId="1E57D74F" w14:textId="77777777" w:rsidTr="005117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61D6D661" w14:textId="4FBDF35B" w:rsidR="009A2E70" w:rsidRDefault="00F01129" w:rsidP="0051177E">
            <w:pPr>
              <w:pStyle w:val="BodyText"/>
              <w:spacing w:after="0"/>
              <w:rPr>
                <w:b w:val="0"/>
                <w:sz w:val="16"/>
              </w:rPr>
            </w:pPr>
            <w:r>
              <w:rPr>
                <w:b w:val="0"/>
                <w:sz w:val="16"/>
              </w:rPr>
              <w:t>Legacy gTLD</w:t>
            </w:r>
          </w:p>
        </w:tc>
        <w:tc>
          <w:tcPr>
            <w:tcW w:w="4680" w:type="dxa"/>
            <w:vAlign w:val="center"/>
          </w:tcPr>
          <w:p w14:paraId="09EB2E32" w14:textId="77777777" w:rsidR="009A2E70" w:rsidRPr="0001760F" w:rsidRDefault="009A2E70" w:rsidP="0051177E">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r w:rsidR="009A2E70" w:rsidRPr="0001760F" w14:paraId="713CDE3A" w14:textId="77777777" w:rsidTr="0051177E">
        <w:trPr>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680C9599" w14:textId="4CD7A56F" w:rsidR="009A2E70" w:rsidRDefault="00F01129" w:rsidP="0051177E">
            <w:pPr>
              <w:pStyle w:val="BodyText"/>
              <w:spacing w:after="0"/>
              <w:rPr>
                <w:b w:val="0"/>
                <w:sz w:val="16"/>
              </w:rPr>
            </w:pPr>
            <w:r>
              <w:rPr>
                <w:b w:val="0"/>
                <w:sz w:val="16"/>
              </w:rPr>
              <w:t>Legacy + new gTLDs</w:t>
            </w:r>
          </w:p>
        </w:tc>
        <w:tc>
          <w:tcPr>
            <w:tcW w:w="4680" w:type="dxa"/>
            <w:vAlign w:val="center"/>
          </w:tcPr>
          <w:p w14:paraId="45D40126" w14:textId="77777777" w:rsidR="009A2E70" w:rsidRPr="0001760F" w:rsidRDefault="009A2E70" w:rsidP="0051177E">
            <w:pPr>
              <w:pStyle w:val="BodyText"/>
              <w:spacing w:after="0"/>
              <w:cnfStyle w:val="000000000000" w:firstRow="0" w:lastRow="0" w:firstColumn="0" w:lastColumn="0" w:oddVBand="0" w:evenVBand="0" w:oddHBand="0" w:evenHBand="0" w:firstRowFirstColumn="0" w:firstRowLastColumn="0" w:lastRowFirstColumn="0" w:lastRowLastColumn="0"/>
              <w:rPr>
                <w:sz w:val="16"/>
              </w:rPr>
            </w:pPr>
          </w:p>
        </w:tc>
      </w:tr>
      <w:tr w:rsidR="009A2E70" w:rsidRPr="0001760F" w14:paraId="26847DF8" w14:textId="77777777" w:rsidTr="005117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53B10282" w14:textId="4F3AEA02" w:rsidR="009A2E70" w:rsidRDefault="00F01129" w:rsidP="0051177E">
            <w:pPr>
              <w:pStyle w:val="BodyText"/>
              <w:spacing w:after="0"/>
              <w:rPr>
                <w:b w:val="0"/>
                <w:sz w:val="16"/>
              </w:rPr>
            </w:pPr>
            <w:r>
              <w:rPr>
                <w:b w:val="0"/>
                <w:sz w:val="16"/>
              </w:rPr>
              <w:t>gTLD typo-squatting + Legacy gTLD</w:t>
            </w:r>
          </w:p>
        </w:tc>
        <w:tc>
          <w:tcPr>
            <w:tcW w:w="4680" w:type="dxa"/>
            <w:vAlign w:val="center"/>
          </w:tcPr>
          <w:p w14:paraId="48BA1A01" w14:textId="77777777" w:rsidR="009A2E70" w:rsidRPr="0001760F" w:rsidRDefault="009A2E70" w:rsidP="0051177E">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r w:rsidR="00F01129" w:rsidRPr="0001760F" w14:paraId="03E6E776" w14:textId="77777777" w:rsidTr="0051177E">
        <w:trPr>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26A54674" w14:textId="4304A6F1" w:rsidR="00F01129" w:rsidRDefault="00F01129" w:rsidP="00F01129">
            <w:pPr>
              <w:pStyle w:val="BodyText"/>
              <w:spacing w:after="0"/>
              <w:rPr>
                <w:b w:val="0"/>
                <w:sz w:val="16"/>
              </w:rPr>
            </w:pPr>
            <w:r>
              <w:rPr>
                <w:b w:val="0"/>
                <w:sz w:val="16"/>
              </w:rPr>
              <w:t>gTLD typo-squatting + Legacy gTLD + new gTLDs</w:t>
            </w:r>
          </w:p>
        </w:tc>
        <w:tc>
          <w:tcPr>
            <w:tcW w:w="4680" w:type="dxa"/>
            <w:vAlign w:val="center"/>
          </w:tcPr>
          <w:p w14:paraId="2D8C8C16" w14:textId="77777777" w:rsidR="00F01129" w:rsidRPr="0001760F" w:rsidRDefault="00F01129" w:rsidP="00F01129">
            <w:pPr>
              <w:pStyle w:val="BodyText"/>
              <w:spacing w:after="0"/>
              <w:cnfStyle w:val="000000000000" w:firstRow="0" w:lastRow="0" w:firstColumn="0" w:lastColumn="0" w:oddVBand="0" w:evenVBand="0" w:oddHBand="0" w:evenHBand="0" w:firstRowFirstColumn="0" w:firstRowLastColumn="0" w:lastRowFirstColumn="0" w:lastRowLastColumn="0"/>
              <w:rPr>
                <w:sz w:val="16"/>
              </w:rPr>
            </w:pPr>
          </w:p>
        </w:tc>
      </w:tr>
    </w:tbl>
    <w:p w14:paraId="018103D3" w14:textId="77777777" w:rsidR="00494901" w:rsidRDefault="00494901" w:rsidP="00494901">
      <w:pPr>
        <w:pStyle w:val="BodyText"/>
        <w:rPr>
          <w:lang w:val="en-US"/>
        </w:rPr>
      </w:pPr>
    </w:p>
    <w:p w14:paraId="7CB1DF34" w14:textId="77777777" w:rsidR="004D047B" w:rsidRDefault="004D047B" w:rsidP="004D047B">
      <w:pPr>
        <w:spacing w:after="160"/>
        <w:sectPr w:rsidR="004D047B" w:rsidSect="000119E0">
          <w:footerReference w:type="first" r:id="rId12"/>
          <w:type w:val="continuous"/>
          <w:pgSz w:w="12240" w:h="15840" w:code="1"/>
          <w:pgMar w:top="1440" w:right="1440" w:bottom="1440" w:left="1440" w:header="288" w:footer="792" w:gutter="0"/>
          <w:cols w:space="144"/>
          <w:titlePg/>
          <w:docGrid w:linePitch="360"/>
        </w:sectPr>
      </w:pPr>
    </w:p>
    <w:p w14:paraId="6F03CF3F" w14:textId="45919299" w:rsidR="00B42A56" w:rsidRPr="004D047B" w:rsidRDefault="00B42A56" w:rsidP="004D047B">
      <w:pPr>
        <w:pStyle w:val="Heading2"/>
      </w:pPr>
      <w:r>
        <w:lastRenderedPageBreak/>
        <w:t>Web watching solutions</w:t>
      </w:r>
    </w:p>
    <w:p w14:paraId="320475B9" w14:textId="43BC1D33" w:rsidR="00B42A56" w:rsidRDefault="00B42A56" w:rsidP="00B42A56">
      <w:pPr>
        <w:pStyle w:val="BodyText"/>
        <w:rPr>
          <w:b/>
          <w:lang w:val="en-US"/>
        </w:rPr>
      </w:pPr>
      <w:r>
        <w:rPr>
          <w:b/>
          <w:lang w:val="en-US"/>
        </w:rPr>
        <w:t>Mobile App Watch</w:t>
      </w:r>
    </w:p>
    <w:p w14:paraId="0085CCAC" w14:textId="33D5FDE8" w:rsidR="007E1856" w:rsidRPr="007E1856" w:rsidRDefault="007E1856" w:rsidP="007E1856">
      <w:pPr>
        <w:pStyle w:val="BodyText"/>
        <w:rPr>
          <w:lang w:val="en-US"/>
        </w:rPr>
      </w:pPr>
      <w:r w:rsidRPr="007E1856">
        <w:rPr>
          <w:lang w:val="en-US"/>
        </w:rPr>
        <w:t>Protect your trademark in today’s fast-paced, unregulated mobile application environment by enrolling in Mobile App Watch. This service monitors over 4 million Android</w:t>
      </w:r>
      <w:r>
        <w:rPr>
          <w:lang w:val="en-US"/>
        </w:rPr>
        <w:t xml:space="preserve"> </w:t>
      </w:r>
      <w:r w:rsidRPr="007E1856">
        <w:rPr>
          <w:lang w:val="en-US"/>
        </w:rPr>
        <w:t>and iOS apps to spot potentially conflicting names.</w:t>
      </w:r>
    </w:p>
    <w:p w14:paraId="2809949D" w14:textId="77777777" w:rsidR="007E1856" w:rsidRPr="007E1856" w:rsidRDefault="007E1856" w:rsidP="007E1856">
      <w:pPr>
        <w:pStyle w:val="BodyText"/>
        <w:numPr>
          <w:ilvl w:val="0"/>
          <w:numId w:val="8"/>
        </w:numPr>
        <w:rPr>
          <w:lang w:val="en-US"/>
        </w:rPr>
      </w:pPr>
      <w:r w:rsidRPr="007E1856">
        <w:rPr>
          <w:lang w:val="en-US"/>
        </w:rPr>
        <w:t>Coverage includes identical and similar App names across 55 countries</w:t>
      </w:r>
    </w:p>
    <w:p w14:paraId="1297125F" w14:textId="77777777" w:rsidR="007E1856" w:rsidRPr="007E1856" w:rsidRDefault="007E1856" w:rsidP="007E1856">
      <w:pPr>
        <w:pStyle w:val="BodyText"/>
        <w:numPr>
          <w:ilvl w:val="0"/>
          <w:numId w:val="8"/>
        </w:numPr>
        <w:rPr>
          <w:lang w:val="en-US"/>
        </w:rPr>
      </w:pPr>
      <w:r w:rsidRPr="007E1856">
        <w:rPr>
          <w:lang w:val="en-US"/>
        </w:rPr>
        <w:t>Monthly reporting</w:t>
      </w:r>
    </w:p>
    <w:p w14:paraId="7E3713D2" w14:textId="5ED9B325" w:rsidR="007E1856" w:rsidRPr="007E1856" w:rsidRDefault="007E1856" w:rsidP="007E1856">
      <w:pPr>
        <w:pStyle w:val="BodyText"/>
        <w:numPr>
          <w:ilvl w:val="0"/>
          <w:numId w:val="8"/>
        </w:numPr>
        <w:rPr>
          <w:lang w:val="en-US"/>
        </w:rPr>
      </w:pPr>
      <w:r w:rsidRPr="007E1856">
        <w:rPr>
          <w:lang w:val="en-US"/>
        </w:rPr>
        <w:t>Available in Watch on SERION®</w:t>
      </w:r>
    </w:p>
    <w:tbl>
      <w:tblPr>
        <w:tblStyle w:val="PlainTable2"/>
        <w:tblW w:w="0" w:type="auto"/>
        <w:tblLook w:val="04A0" w:firstRow="1" w:lastRow="0" w:firstColumn="1" w:lastColumn="0" w:noHBand="0" w:noVBand="1"/>
      </w:tblPr>
      <w:tblGrid>
        <w:gridCol w:w="4680"/>
        <w:gridCol w:w="4680"/>
      </w:tblGrid>
      <w:tr w:rsidR="00B42A56" w:rsidRPr="0001760F" w14:paraId="0783751A" w14:textId="77777777" w:rsidTr="005117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3D7BE931" w14:textId="77777777" w:rsidR="00B42A56" w:rsidRPr="0001760F" w:rsidRDefault="00B42A56" w:rsidP="0051177E">
            <w:pPr>
              <w:pStyle w:val="BodyText"/>
              <w:spacing w:after="0"/>
              <w:rPr>
                <w:sz w:val="16"/>
              </w:rPr>
            </w:pPr>
            <w:r>
              <w:rPr>
                <w:sz w:val="16"/>
              </w:rPr>
              <w:t>Pricing</w:t>
            </w:r>
          </w:p>
        </w:tc>
        <w:tc>
          <w:tcPr>
            <w:tcW w:w="4680" w:type="dxa"/>
            <w:vAlign w:val="center"/>
          </w:tcPr>
          <w:p w14:paraId="55ADCC4C" w14:textId="77777777" w:rsidR="00B42A56" w:rsidRPr="0001760F" w:rsidRDefault="00B42A56" w:rsidP="0051177E">
            <w:pPr>
              <w:pStyle w:val="BodyText"/>
              <w:spacing w:after="0"/>
              <w:cnfStyle w:val="100000000000" w:firstRow="1" w:lastRow="0" w:firstColumn="0" w:lastColumn="0" w:oddVBand="0" w:evenVBand="0" w:oddHBand="0" w:evenHBand="0" w:firstRowFirstColumn="0" w:firstRowLastColumn="0" w:lastRowFirstColumn="0" w:lastRowLastColumn="0"/>
              <w:rPr>
                <w:sz w:val="16"/>
              </w:rPr>
            </w:pPr>
          </w:p>
        </w:tc>
      </w:tr>
      <w:tr w:rsidR="00B42A56" w:rsidRPr="0001760F" w14:paraId="78686DAA" w14:textId="77777777" w:rsidTr="005117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593012BA" w14:textId="54B5B76D" w:rsidR="00B42A56" w:rsidRPr="00DD2586" w:rsidRDefault="007E1856" w:rsidP="0051177E">
            <w:pPr>
              <w:pStyle w:val="BodyText"/>
              <w:spacing w:after="0"/>
              <w:rPr>
                <w:b w:val="0"/>
                <w:sz w:val="16"/>
              </w:rPr>
            </w:pPr>
            <w:r>
              <w:rPr>
                <w:b w:val="0"/>
                <w:sz w:val="16"/>
              </w:rPr>
              <w:t>Monthly</w:t>
            </w:r>
          </w:p>
        </w:tc>
        <w:tc>
          <w:tcPr>
            <w:tcW w:w="4680" w:type="dxa"/>
            <w:vAlign w:val="center"/>
          </w:tcPr>
          <w:p w14:paraId="244B50D3" w14:textId="77777777" w:rsidR="00B42A56" w:rsidRPr="0001760F" w:rsidRDefault="00B42A56" w:rsidP="0051177E">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bl>
    <w:p w14:paraId="594409BE" w14:textId="77777777" w:rsidR="00B42A56" w:rsidRDefault="00B42A56" w:rsidP="00B42A56">
      <w:pPr>
        <w:pStyle w:val="BodyText"/>
        <w:rPr>
          <w:lang w:val="en-US"/>
        </w:rPr>
      </w:pPr>
    </w:p>
    <w:p w14:paraId="3067D659" w14:textId="646A358F" w:rsidR="00821528" w:rsidRDefault="00821528" w:rsidP="00821528">
      <w:pPr>
        <w:pStyle w:val="BodyText"/>
        <w:rPr>
          <w:b/>
          <w:lang w:val="en-US"/>
        </w:rPr>
      </w:pPr>
      <w:r>
        <w:rPr>
          <w:b/>
          <w:lang w:val="en-US"/>
        </w:rPr>
        <w:t>Social Media Username Watch</w:t>
      </w:r>
    </w:p>
    <w:p w14:paraId="2F4E61CC" w14:textId="39D68824" w:rsidR="00B579A2" w:rsidRPr="00B579A2" w:rsidRDefault="00B579A2" w:rsidP="00B579A2">
      <w:pPr>
        <w:spacing w:after="240"/>
        <w:rPr>
          <w:color w:val="000000" w:themeColor="text1"/>
        </w:rPr>
      </w:pPr>
      <w:r w:rsidRPr="00B579A2">
        <w:rPr>
          <w:color w:val="000000" w:themeColor="text1"/>
        </w:rPr>
        <w:t>Informs you when a watched trademark appears as a username on major social media websites, so you can act quickly to protect your brand.</w:t>
      </w:r>
    </w:p>
    <w:p w14:paraId="196EE9B3" w14:textId="2FFA45A4" w:rsidR="00DC0D1E" w:rsidRPr="00DC0D1E" w:rsidRDefault="00DC0D1E" w:rsidP="00B579A2">
      <w:pPr>
        <w:pStyle w:val="ListParagraph"/>
        <w:numPr>
          <w:ilvl w:val="0"/>
          <w:numId w:val="8"/>
        </w:numPr>
        <w:spacing w:after="240"/>
        <w:rPr>
          <w:rFonts w:asciiTheme="minorHAnsi" w:hAnsiTheme="minorHAnsi" w:cstheme="minorBidi"/>
          <w:color w:val="000000" w:themeColor="text1"/>
          <w:sz w:val="20"/>
        </w:rPr>
      </w:pPr>
      <w:r w:rsidRPr="00DC0D1E">
        <w:rPr>
          <w:rFonts w:asciiTheme="minorHAnsi" w:hAnsiTheme="minorHAnsi" w:cstheme="minorBidi"/>
          <w:color w:val="000000" w:themeColor="text1"/>
          <w:sz w:val="20"/>
        </w:rPr>
        <w:t>Reduce administrative burdens: Eliminate the time-consuming task of manually monitoring social media websites for brand misuse.</w:t>
      </w:r>
    </w:p>
    <w:tbl>
      <w:tblPr>
        <w:tblStyle w:val="PlainTable2"/>
        <w:tblW w:w="0" w:type="auto"/>
        <w:tblLook w:val="04A0" w:firstRow="1" w:lastRow="0" w:firstColumn="1" w:lastColumn="0" w:noHBand="0" w:noVBand="1"/>
      </w:tblPr>
      <w:tblGrid>
        <w:gridCol w:w="4680"/>
        <w:gridCol w:w="4680"/>
      </w:tblGrid>
      <w:tr w:rsidR="00821528" w:rsidRPr="0001760F" w14:paraId="109CCFA5" w14:textId="77777777" w:rsidTr="005117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659C37CB" w14:textId="77777777" w:rsidR="00821528" w:rsidRPr="0001760F" w:rsidRDefault="00821528" w:rsidP="0051177E">
            <w:pPr>
              <w:pStyle w:val="BodyText"/>
              <w:spacing w:after="0"/>
              <w:rPr>
                <w:sz w:val="16"/>
              </w:rPr>
            </w:pPr>
            <w:r>
              <w:rPr>
                <w:sz w:val="16"/>
              </w:rPr>
              <w:t>Pricing</w:t>
            </w:r>
          </w:p>
        </w:tc>
        <w:tc>
          <w:tcPr>
            <w:tcW w:w="4680" w:type="dxa"/>
            <w:vAlign w:val="center"/>
          </w:tcPr>
          <w:p w14:paraId="351563A7" w14:textId="77777777" w:rsidR="00821528" w:rsidRPr="0001760F" w:rsidRDefault="00821528" w:rsidP="0051177E">
            <w:pPr>
              <w:pStyle w:val="BodyText"/>
              <w:spacing w:after="0"/>
              <w:cnfStyle w:val="100000000000" w:firstRow="1" w:lastRow="0" w:firstColumn="0" w:lastColumn="0" w:oddVBand="0" w:evenVBand="0" w:oddHBand="0" w:evenHBand="0" w:firstRowFirstColumn="0" w:firstRowLastColumn="0" w:lastRowFirstColumn="0" w:lastRowLastColumn="0"/>
              <w:rPr>
                <w:sz w:val="16"/>
              </w:rPr>
            </w:pPr>
          </w:p>
        </w:tc>
      </w:tr>
      <w:tr w:rsidR="00821528" w:rsidRPr="0001760F" w14:paraId="0F741BDA" w14:textId="77777777" w:rsidTr="005117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6AD6957A" w14:textId="77777777" w:rsidR="00821528" w:rsidRPr="00DD2586" w:rsidRDefault="00821528" w:rsidP="0051177E">
            <w:pPr>
              <w:pStyle w:val="BodyText"/>
              <w:spacing w:after="0"/>
              <w:rPr>
                <w:b w:val="0"/>
                <w:sz w:val="16"/>
              </w:rPr>
            </w:pPr>
            <w:r>
              <w:rPr>
                <w:b w:val="0"/>
                <w:sz w:val="16"/>
              </w:rPr>
              <w:t>Monthly</w:t>
            </w:r>
          </w:p>
        </w:tc>
        <w:tc>
          <w:tcPr>
            <w:tcW w:w="4680" w:type="dxa"/>
            <w:vAlign w:val="center"/>
          </w:tcPr>
          <w:p w14:paraId="45314D6D" w14:textId="77777777" w:rsidR="00821528" w:rsidRPr="0001760F" w:rsidRDefault="00821528" w:rsidP="0051177E">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r w:rsidR="00FF7576" w:rsidRPr="0001760F" w14:paraId="0079379C" w14:textId="77777777" w:rsidTr="0051177E">
        <w:trPr>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6E55431A" w14:textId="7D0DBE80" w:rsidR="00FF7576" w:rsidRDefault="00FF7576" w:rsidP="0051177E">
            <w:pPr>
              <w:pStyle w:val="BodyText"/>
              <w:spacing w:after="0"/>
              <w:rPr>
                <w:b w:val="0"/>
                <w:sz w:val="16"/>
              </w:rPr>
            </w:pPr>
            <w:r>
              <w:rPr>
                <w:b w:val="0"/>
                <w:sz w:val="16"/>
              </w:rPr>
              <w:t>Weekly</w:t>
            </w:r>
          </w:p>
        </w:tc>
        <w:tc>
          <w:tcPr>
            <w:tcW w:w="4680" w:type="dxa"/>
            <w:vAlign w:val="center"/>
          </w:tcPr>
          <w:p w14:paraId="57FC2DE3" w14:textId="77777777" w:rsidR="00FF7576" w:rsidRPr="0001760F" w:rsidRDefault="00FF7576" w:rsidP="0051177E">
            <w:pPr>
              <w:pStyle w:val="BodyText"/>
              <w:spacing w:after="0"/>
              <w:cnfStyle w:val="000000000000" w:firstRow="0" w:lastRow="0" w:firstColumn="0" w:lastColumn="0" w:oddVBand="0" w:evenVBand="0" w:oddHBand="0" w:evenHBand="0" w:firstRowFirstColumn="0" w:firstRowLastColumn="0" w:lastRowFirstColumn="0" w:lastRowLastColumn="0"/>
              <w:rPr>
                <w:sz w:val="16"/>
              </w:rPr>
            </w:pPr>
          </w:p>
        </w:tc>
      </w:tr>
    </w:tbl>
    <w:p w14:paraId="745D3815" w14:textId="77777777" w:rsidR="00821528" w:rsidRDefault="00821528" w:rsidP="00821528">
      <w:pPr>
        <w:pStyle w:val="BodyText"/>
        <w:rPr>
          <w:lang w:val="en-US"/>
        </w:rPr>
      </w:pPr>
    </w:p>
    <w:p w14:paraId="2C3259D3" w14:textId="77777777" w:rsidR="00B35EBB" w:rsidRDefault="00B35EBB" w:rsidP="00B35EBB">
      <w:pPr>
        <w:pStyle w:val="Heading2"/>
      </w:pPr>
      <w:r>
        <w:t>Competitive ownership watch</w:t>
      </w:r>
    </w:p>
    <w:p w14:paraId="749151E1" w14:textId="1635B9C9" w:rsidR="00B35EBB" w:rsidRPr="00CD5FC3" w:rsidRDefault="00CD5FC3" w:rsidP="00EB3CCF">
      <w:pPr>
        <w:pStyle w:val="BodyText"/>
      </w:pPr>
      <w:r w:rsidRPr="00CD5FC3">
        <w:t>What are your competitors up to? Where are they registering their marks? Monitoring their trademark use can provide important insights to help refine your business strategy.</w:t>
      </w:r>
    </w:p>
    <w:p w14:paraId="51691E32" w14:textId="136EA89B" w:rsidR="00EB3CCF" w:rsidRDefault="00CD5FC3" w:rsidP="00EB3CCF">
      <w:pPr>
        <w:pStyle w:val="BodyText"/>
        <w:rPr>
          <w:b/>
          <w:lang w:val="en-US"/>
        </w:rPr>
      </w:pPr>
      <w:r>
        <w:rPr>
          <w:b/>
          <w:lang w:val="en-US"/>
        </w:rPr>
        <w:t>Worldwide Ownership Watch</w:t>
      </w:r>
    </w:p>
    <w:p w14:paraId="4AB77083" w14:textId="77777777" w:rsidR="009F2764" w:rsidRDefault="009F2764" w:rsidP="009F2764">
      <w:pPr>
        <w:pStyle w:val="BodyText"/>
        <w:rPr>
          <w:lang w:val="en-US"/>
        </w:rPr>
      </w:pPr>
      <w:r w:rsidRPr="009F2764">
        <w:rPr>
          <w:lang w:val="en-US"/>
        </w:rPr>
        <w:t>Closely monitor the worldwide trademark activities of your key competitors or track the publication of your own marks worldwide.</w:t>
      </w:r>
    </w:p>
    <w:p w14:paraId="6FFA828E" w14:textId="5E5B00A0" w:rsidR="00E83920" w:rsidRPr="00E83920" w:rsidRDefault="00E83920" w:rsidP="00E83920">
      <w:pPr>
        <w:pStyle w:val="BodyText"/>
        <w:numPr>
          <w:ilvl w:val="0"/>
          <w:numId w:val="8"/>
        </w:numPr>
        <w:rPr>
          <w:lang w:val="en-US"/>
        </w:rPr>
      </w:pPr>
      <w:r w:rsidRPr="00E83920">
        <w:rPr>
          <w:lang w:val="en-US"/>
        </w:rPr>
        <w:t>Coverage: We watch all newly published marks filed by a specific company or individual, providing valuable information while saving you time. This is available</w:t>
      </w:r>
      <w:r>
        <w:rPr>
          <w:lang w:val="en-US"/>
        </w:rPr>
        <w:t xml:space="preserve"> </w:t>
      </w:r>
      <w:r w:rsidRPr="00E83920">
        <w:rPr>
          <w:lang w:val="en-US"/>
        </w:rPr>
        <w:t>for specific regions or countries only.</w:t>
      </w:r>
    </w:p>
    <w:tbl>
      <w:tblPr>
        <w:tblStyle w:val="PlainTable2"/>
        <w:tblW w:w="0" w:type="auto"/>
        <w:tblLook w:val="04A0" w:firstRow="1" w:lastRow="0" w:firstColumn="1" w:lastColumn="0" w:noHBand="0" w:noVBand="1"/>
      </w:tblPr>
      <w:tblGrid>
        <w:gridCol w:w="4680"/>
        <w:gridCol w:w="4680"/>
      </w:tblGrid>
      <w:tr w:rsidR="00E83920" w:rsidRPr="0001760F" w14:paraId="225618E0" w14:textId="77777777" w:rsidTr="005117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0A59BAD0" w14:textId="77777777" w:rsidR="00E83920" w:rsidRPr="0001760F" w:rsidRDefault="00E83920" w:rsidP="0051177E">
            <w:pPr>
              <w:pStyle w:val="BodyText"/>
              <w:spacing w:after="0"/>
              <w:rPr>
                <w:sz w:val="16"/>
              </w:rPr>
            </w:pPr>
            <w:r>
              <w:rPr>
                <w:sz w:val="16"/>
              </w:rPr>
              <w:t>Pricing</w:t>
            </w:r>
          </w:p>
        </w:tc>
        <w:tc>
          <w:tcPr>
            <w:tcW w:w="4680" w:type="dxa"/>
            <w:vAlign w:val="center"/>
          </w:tcPr>
          <w:p w14:paraId="2F607430" w14:textId="77777777" w:rsidR="00E83920" w:rsidRPr="0001760F" w:rsidRDefault="00E83920" w:rsidP="0051177E">
            <w:pPr>
              <w:pStyle w:val="BodyText"/>
              <w:spacing w:after="0"/>
              <w:cnfStyle w:val="100000000000" w:firstRow="1" w:lastRow="0" w:firstColumn="0" w:lastColumn="0" w:oddVBand="0" w:evenVBand="0" w:oddHBand="0" w:evenHBand="0" w:firstRowFirstColumn="0" w:firstRowLastColumn="0" w:lastRowFirstColumn="0" w:lastRowLastColumn="0"/>
              <w:rPr>
                <w:sz w:val="16"/>
              </w:rPr>
            </w:pPr>
          </w:p>
        </w:tc>
      </w:tr>
      <w:tr w:rsidR="00E83920" w:rsidRPr="0001760F" w14:paraId="482EF35C" w14:textId="77777777" w:rsidTr="005117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center"/>
          </w:tcPr>
          <w:p w14:paraId="5C050F22" w14:textId="2E10E0A6" w:rsidR="00E83920" w:rsidRPr="00DD2586" w:rsidRDefault="00E83920" w:rsidP="0051177E">
            <w:pPr>
              <w:pStyle w:val="BodyText"/>
              <w:spacing w:after="0"/>
              <w:rPr>
                <w:b w:val="0"/>
                <w:sz w:val="16"/>
              </w:rPr>
            </w:pPr>
            <w:r>
              <w:rPr>
                <w:b w:val="0"/>
                <w:sz w:val="16"/>
              </w:rPr>
              <w:t>Worldwide Ownership Watch</w:t>
            </w:r>
          </w:p>
        </w:tc>
        <w:tc>
          <w:tcPr>
            <w:tcW w:w="4680" w:type="dxa"/>
            <w:vAlign w:val="center"/>
          </w:tcPr>
          <w:p w14:paraId="49226950" w14:textId="77777777" w:rsidR="00E83920" w:rsidRPr="0001760F" w:rsidRDefault="00E83920" w:rsidP="0051177E">
            <w:pPr>
              <w:pStyle w:val="BodyText"/>
              <w:spacing w:after="0"/>
              <w:cnfStyle w:val="000000100000" w:firstRow="0" w:lastRow="0" w:firstColumn="0" w:lastColumn="0" w:oddVBand="0" w:evenVBand="0" w:oddHBand="1" w:evenHBand="0" w:firstRowFirstColumn="0" w:firstRowLastColumn="0" w:lastRowFirstColumn="0" w:lastRowLastColumn="0"/>
              <w:rPr>
                <w:sz w:val="16"/>
              </w:rPr>
            </w:pPr>
          </w:p>
        </w:tc>
      </w:tr>
    </w:tbl>
    <w:p w14:paraId="5E75F9FA" w14:textId="77777777" w:rsidR="00B93382" w:rsidRPr="006A5766" w:rsidRDefault="00B93382" w:rsidP="006A5766">
      <w:pPr>
        <w:pStyle w:val="BodyText"/>
        <w:rPr>
          <w:lang w:val="en-US"/>
        </w:rPr>
      </w:pPr>
    </w:p>
    <w:p w14:paraId="6CC92069" w14:textId="58710C4F" w:rsidR="000119E0" w:rsidRPr="00B2576B" w:rsidRDefault="000119E0" w:rsidP="000119E0">
      <w:pPr>
        <w:pStyle w:val="Heading2"/>
      </w:pPr>
      <w:r w:rsidRPr="00B2576B">
        <w:t xml:space="preserve">Contact </w:t>
      </w:r>
      <w:r>
        <w:t>i</w:t>
      </w:r>
      <w:r w:rsidRPr="00B2576B">
        <w:t xml:space="preserve">nformation </w:t>
      </w:r>
    </w:p>
    <w:p w14:paraId="7AED4A96" w14:textId="77777777" w:rsidR="000119E0" w:rsidRDefault="000119E0" w:rsidP="000119E0">
      <w:pPr>
        <w:pStyle w:val="BodyText"/>
        <w:sectPr w:rsidR="000119E0" w:rsidSect="004D047B">
          <w:pgSz w:w="12240" w:h="15840" w:code="1"/>
          <w:pgMar w:top="1440" w:right="1440" w:bottom="1440" w:left="1440" w:header="288" w:footer="792" w:gutter="0"/>
          <w:cols w:space="144"/>
          <w:titlePg/>
          <w:docGrid w:linePitch="360"/>
        </w:sectPr>
      </w:pPr>
    </w:p>
    <w:p w14:paraId="7C5352CD" w14:textId="77777777" w:rsidR="000119E0" w:rsidRPr="000119E0" w:rsidRDefault="000119E0" w:rsidP="000119E0">
      <w:pPr>
        <w:pStyle w:val="BodyText"/>
      </w:pPr>
      <w:r w:rsidRPr="00B2576B">
        <w:t xml:space="preserve">To request an International Business Name Watch, please </w:t>
      </w:r>
      <w:r>
        <w:t xml:space="preserve">contact </w:t>
      </w:r>
      <w:r w:rsidRPr="000119E0">
        <w:rPr>
          <w:color w:val="FF0000"/>
        </w:rPr>
        <w:t xml:space="preserve">[Insert Law Firm Name] </w:t>
      </w:r>
      <w:r w:rsidRPr="00B2576B">
        <w:t>today.</w:t>
      </w:r>
    </w:p>
    <w:p w14:paraId="239C7B7C" w14:textId="77777777" w:rsidR="000119E0" w:rsidRPr="00741A8F" w:rsidRDefault="000119E0" w:rsidP="000119E0">
      <w:pPr>
        <w:pStyle w:val="BodyText"/>
        <w:spacing w:after="0"/>
        <w:rPr>
          <w:sz w:val="18"/>
        </w:rPr>
      </w:pPr>
    </w:p>
    <w:p w14:paraId="453A0502" w14:textId="77777777" w:rsidR="000119E0" w:rsidRPr="00741A8F" w:rsidRDefault="00D27488" w:rsidP="000119E0">
      <w:pPr>
        <w:pStyle w:val="BodyText"/>
        <w:spacing w:after="0"/>
        <w:rPr>
          <w:sz w:val="18"/>
        </w:rPr>
      </w:pPr>
      <w:hyperlink r:id="rId13" w:history="1">
        <w:r w:rsidR="000119E0" w:rsidRPr="00741A8F">
          <w:rPr>
            <w:rStyle w:val="Hyperlink"/>
            <w:sz w:val="18"/>
          </w:rPr>
          <w:t>compumark.com</w:t>
        </w:r>
      </w:hyperlink>
    </w:p>
    <w:p w14:paraId="5DDF0A12" w14:textId="77777777" w:rsidR="000119E0" w:rsidRDefault="00D27488" w:rsidP="000119E0">
      <w:pPr>
        <w:pStyle w:val="BodyText"/>
        <w:spacing w:after="0"/>
        <w:sectPr w:rsidR="000119E0" w:rsidSect="000119E0">
          <w:type w:val="continuous"/>
          <w:pgSz w:w="12240" w:h="15840" w:code="1"/>
          <w:pgMar w:top="1440" w:right="1440" w:bottom="1440" w:left="1440" w:header="288" w:footer="792" w:gutter="0"/>
          <w:cols w:space="144"/>
          <w:titlePg/>
          <w:docGrid w:linePitch="360"/>
        </w:sectPr>
      </w:pPr>
      <w:hyperlink r:id="rId14" w:history="1">
        <w:r w:rsidR="000119E0" w:rsidRPr="00741A8F">
          <w:rPr>
            <w:rStyle w:val="Hyperlink"/>
            <w:sz w:val="18"/>
          </w:rPr>
          <w:t>clarivate.com</w:t>
        </w:r>
      </w:hyperlink>
    </w:p>
    <w:p w14:paraId="50924767" w14:textId="50C6DE04" w:rsidR="000119E0" w:rsidRDefault="006D1A0E" w:rsidP="006D1A0E">
      <w:pPr>
        <w:pStyle w:val="BodyText"/>
        <w:tabs>
          <w:tab w:val="left" w:pos="3517"/>
        </w:tabs>
      </w:pPr>
      <w:r>
        <w:tab/>
      </w:r>
    </w:p>
    <w:p w14:paraId="4940134F" w14:textId="69926F1B" w:rsidR="000119E0" w:rsidRPr="001668F4" w:rsidRDefault="006D1A0E" w:rsidP="006C6121">
      <w:pPr>
        <w:tabs>
          <w:tab w:val="left" w:pos="3517"/>
        </w:tabs>
      </w:pPr>
      <w:r>
        <w:tab/>
      </w:r>
    </w:p>
    <w:p w14:paraId="3A3186C1" w14:textId="77777777" w:rsidR="000119E0" w:rsidRPr="001668F4" w:rsidRDefault="000119E0" w:rsidP="000119E0">
      <w:pPr>
        <w:tabs>
          <w:tab w:val="left" w:pos="1515"/>
        </w:tabs>
      </w:pPr>
      <w:r>
        <w:tab/>
      </w:r>
    </w:p>
    <w:p w14:paraId="190B77C7" w14:textId="77777777" w:rsidR="006D4AB6" w:rsidRDefault="00D27488"/>
    <w:sectPr w:rsidR="006D4AB6" w:rsidSect="000119E0">
      <w:type w:val="continuous"/>
      <w:pgSz w:w="12240" w:h="15840" w:code="1"/>
      <w:pgMar w:top="1440" w:right="1440" w:bottom="1440" w:left="1440" w:header="28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8427" w14:textId="77777777" w:rsidR="001B3AA5" w:rsidRDefault="001B3AA5" w:rsidP="000119E0">
      <w:pPr>
        <w:spacing w:after="0" w:line="240" w:lineRule="auto"/>
      </w:pPr>
      <w:r>
        <w:separator/>
      </w:r>
    </w:p>
  </w:endnote>
  <w:endnote w:type="continuationSeparator" w:id="0">
    <w:p w14:paraId="1BF7BF2C" w14:textId="77777777" w:rsidR="001B3AA5" w:rsidRDefault="001B3AA5" w:rsidP="0001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AAB5" w14:textId="77777777" w:rsidR="000F7817" w:rsidRPr="003B1B9C" w:rsidRDefault="001E5A96" w:rsidP="00A4343D">
    <w:pPr>
      <w:pStyle w:val="Footer"/>
      <w:rPr>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3</w:t>
    </w:r>
    <w:r w:rsidRPr="003B1B9C">
      <w:rPr>
        <w:noProof/>
        <w:lang w:val="en-AU"/>
      </w:rPr>
      <w:fldChar w:fldCharType="end"/>
    </w:r>
    <w:r>
      <w:rPr>
        <w:noProof/>
        <w:lang w:val="en-AU"/>
      </w:rPr>
      <w:t xml:space="preserve"> </w:t>
    </w:r>
    <w:r>
      <w:rPr>
        <w:noProof/>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0139" w14:textId="77777777" w:rsidR="0078263F" w:rsidRPr="00160CC1" w:rsidRDefault="001E5A96" w:rsidP="007828C6">
    <w:pPr>
      <w:pStyle w:val="Footer"/>
      <w:rPr>
        <w:szCs w:val="20"/>
        <w:lang w:val="en-AU"/>
      </w:rPr>
    </w:pPr>
    <w:r w:rsidRPr="003B1B9C">
      <w:rPr>
        <w:lang w:val="en-AU"/>
      </w:rPr>
      <w:fldChar w:fldCharType="begin"/>
    </w:r>
    <w:r w:rsidRPr="003B1B9C">
      <w:rPr>
        <w:lang w:val="en-AU"/>
      </w:rPr>
      <w:instrText xml:space="preserve"> PAGE   \* MERGEFORMAT </w:instrText>
    </w:r>
    <w:r w:rsidRPr="003B1B9C">
      <w:rPr>
        <w:lang w:val="en-AU"/>
      </w:rPr>
      <w:fldChar w:fldCharType="separate"/>
    </w:r>
    <w:r>
      <w:rPr>
        <w:noProof/>
        <w:lang w:val="en-AU"/>
      </w:rPr>
      <w:t>5</w:t>
    </w:r>
    <w:r w:rsidRPr="003B1B9C">
      <w:rPr>
        <w:noProof/>
        <w:lang w:val="en-AU"/>
      </w:rPr>
      <w:fldChar w:fldCharType="end"/>
    </w:r>
    <w:r>
      <w:rPr>
        <w:noProof/>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50D4" w14:textId="77777777" w:rsidR="00A4343D" w:rsidRPr="00A4343D" w:rsidRDefault="00A4343D" w:rsidP="00A4343D">
    <w:pPr>
      <w:pStyle w:val="Footer"/>
      <w:ind w:left="0"/>
      <w:rPr>
        <w:noProof/>
        <w:sz w:val="16"/>
        <w:szCs w:val="20"/>
        <w:lang w:val="en-AU"/>
      </w:rPr>
    </w:pPr>
    <w:r w:rsidRPr="00A4343D">
      <w:rPr>
        <w:noProof/>
        <w:sz w:val="16"/>
        <w:szCs w:val="20"/>
        <w:lang w:val="en-AU"/>
      </w:rPr>
      <w:t xml:space="preserve">© 2019 Clarivate Analytics. </w:t>
    </w:r>
    <w:r w:rsidRPr="000119E0">
      <w:rPr>
        <w:noProof/>
        <w:sz w:val="16"/>
        <w:szCs w:val="20"/>
        <w:lang w:val="en-AU"/>
      </w:rPr>
      <w:t>CompuMark is a trademark of its respective owner and used herein with permission.</w:t>
    </w:r>
    <w:r>
      <w:rPr>
        <w:noProof/>
        <w:sz w:val="16"/>
        <w:szCs w:val="20"/>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EF17" w14:textId="77777777" w:rsidR="001B3AA5" w:rsidRDefault="001B3AA5" w:rsidP="000119E0">
      <w:pPr>
        <w:spacing w:after="0" w:line="240" w:lineRule="auto"/>
      </w:pPr>
      <w:r>
        <w:separator/>
      </w:r>
    </w:p>
  </w:footnote>
  <w:footnote w:type="continuationSeparator" w:id="0">
    <w:p w14:paraId="47E0538E" w14:textId="77777777" w:rsidR="001B3AA5" w:rsidRDefault="001B3AA5" w:rsidP="00011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3989"/>
    <w:multiLevelType w:val="hybridMultilevel"/>
    <w:tmpl w:val="EE42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F2E6F"/>
    <w:multiLevelType w:val="multilevel"/>
    <w:tmpl w:val="55DC2BC4"/>
    <w:styleLink w:val="ListBullets"/>
    <w:lvl w:ilvl="0">
      <w:start w:val="1"/>
      <w:numFmt w:val="bullet"/>
      <w:pStyle w:val="ListBullet"/>
      <w:lvlText w:val="•"/>
      <w:lvlJc w:val="left"/>
      <w:pPr>
        <w:tabs>
          <w:tab w:val="num" w:pos="284"/>
        </w:tabs>
        <w:ind w:left="284" w:hanging="284"/>
      </w:pPr>
      <w:rPr>
        <w:rFonts w:ascii="Calibri" w:hAnsi="Calibri" w:hint="default"/>
      </w:rPr>
    </w:lvl>
    <w:lvl w:ilvl="1">
      <w:start w:val="1"/>
      <w:numFmt w:val="bullet"/>
      <w:lvlText w:val="–"/>
      <w:lvlJc w:val="left"/>
      <w:pPr>
        <w:tabs>
          <w:tab w:val="num" w:pos="567"/>
        </w:tabs>
        <w:ind w:left="567" w:hanging="283"/>
      </w:pPr>
      <w:rPr>
        <w:rFonts w:ascii="Calibri" w:hAnsi="Calibri" w:hint="default"/>
      </w:rPr>
    </w:lvl>
    <w:lvl w:ilvl="2">
      <w:start w:val="1"/>
      <w:numFmt w:val="bullet"/>
      <w:lvlText w:val="•"/>
      <w:lvlJc w:val="left"/>
      <w:pPr>
        <w:tabs>
          <w:tab w:val="num" w:pos="851"/>
        </w:tabs>
        <w:ind w:left="851" w:hanging="284"/>
      </w:pPr>
      <w:rPr>
        <w:rFonts w:ascii="Calibri" w:hAnsi="Calibri"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none"/>
      <w:lvlText w:val=""/>
      <w:lvlJc w:val="left"/>
      <w:pPr>
        <w:tabs>
          <w:tab w:val="num" w:pos="851"/>
        </w:tabs>
        <w:ind w:left="851" w:hanging="284"/>
      </w:pPr>
      <w:rPr>
        <w:rFonts w:hint="default"/>
      </w:rPr>
    </w:lvl>
    <w:lvl w:ilvl="6">
      <w:start w:val="1"/>
      <w:numFmt w:val="none"/>
      <w:lvlText w:val=""/>
      <w:lvlJc w:val="left"/>
      <w:pPr>
        <w:tabs>
          <w:tab w:val="num" w:pos="851"/>
        </w:tabs>
        <w:ind w:left="851" w:hanging="284"/>
      </w:pPr>
      <w:rPr>
        <w:rFonts w:hint="default"/>
      </w:rPr>
    </w:lvl>
    <w:lvl w:ilvl="7">
      <w:start w:val="1"/>
      <w:numFmt w:val="none"/>
      <w:lvlText w:val=""/>
      <w:lvlJc w:val="left"/>
      <w:pPr>
        <w:tabs>
          <w:tab w:val="num" w:pos="851"/>
        </w:tabs>
        <w:ind w:left="851" w:hanging="284"/>
      </w:pPr>
      <w:rPr>
        <w:rFonts w:hint="default"/>
      </w:rPr>
    </w:lvl>
    <w:lvl w:ilvl="8">
      <w:start w:val="1"/>
      <w:numFmt w:val="none"/>
      <w:lvlText w:val=""/>
      <w:lvlJc w:val="left"/>
      <w:pPr>
        <w:tabs>
          <w:tab w:val="num" w:pos="851"/>
        </w:tabs>
        <w:ind w:left="851" w:hanging="284"/>
      </w:pPr>
      <w:rPr>
        <w:rFonts w:hint="default"/>
      </w:rPr>
    </w:lvl>
  </w:abstractNum>
  <w:abstractNum w:abstractNumId="2" w15:restartNumberingAfterBreak="0">
    <w:nsid w:val="2C7133DA"/>
    <w:multiLevelType w:val="hybridMultilevel"/>
    <w:tmpl w:val="C51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A7BA1"/>
    <w:multiLevelType w:val="hybridMultilevel"/>
    <w:tmpl w:val="206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42653"/>
    <w:multiLevelType w:val="multilevel"/>
    <w:tmpl w:val="55DC2BC4"/>
    <w:numStyleLink w:val="ListBullets"/>
  </w:abstractNum>
  <w:abstractNum w:abstractNumId="5" w15:restartNumberingAfterBreak="0">
    <w:nsid w:val="39616E88"/>
    <w:multiLevelType w:val="hybridMultilevel"/>
    <w:tmpl w:val="35A4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CC0C88"/>
    <w:multiLevelType w:val="hybridMultilevel"/>
    <w:tmpl w:val="D68A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C0A67"/>
    <w:multiLevelType w:val="hybridMultilevel"/>
    <w:tmpl w:val="A6AE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0"/>
    <w:rsid w:val="000119E0"/>
    <w:rsid w:val="0001760F"/>
    <w:rsid w:val="00064A3F"/>
    <w:rsid w:val="000F09F6"/>
    <w:rsid w:val="00145CE6"/>
    <w:rsid w:val="00150F45"/>
    <w:rsid w:val="00196C8D"/>
    <w:rsid w:val="001B32B9"/>
    <w:rsid w:val="001B3AA5"/>
    <w:rsid w:val="001B4792"/>
    <w:rsid w:val="001E5A96"/>
    <w:rsid w:val="002172E4"/>
    <w:rsid w:val="00261035"/>
    <w:rsid w:val="002D329B"/>
    <w:rsid w:val="003B087A"/>
    <w:rsid w:val="003C03DF"/>
    <w:rsid w:val="003D69BB"/>
    <w:rsid w:val="00494901"/>
    <w:rsid w:val="004A7B2B"/>
    <w:rsid w:val="004B0A73"/>
    <w:rsid w:val="004D047B"/>
    <w:rsid w:val="00525F14"/>
    <w:rsid w:val="005C74DE"/>
    <w:rsid w:val="005D5C21"/>
    <w:rsid w:val="00603FA1"/>
    <w:rsid w:val="00610FF2"/>
    <w:rsid w:val="006A43D1"/>
    <w:rsid w:val="006A5766"/>
    <w:rsid w:val="006C6121"/>
    <w:rsid w:val="006D1A0E"/>
    <w:rsid w:val="00725BC6"/>
    <w:rsid w:val="007E1856"/>
    <w:rsid w:val="00821528"/>
    <w:rsid w:val="008B2507"/>
    <w:rsid w:val="0091504B"/>
    <w:rsid w:val="00946316"/>
    <w:rsid w:val="00975D26"/>
    <w:rsid w:val="009A2E70"/>
    <w:rsid w:val="009C3811"/>
    <w:rsid w:val="009F2764"/>
    <w:rsid w:val="00A4343D"/>
    <w:rsid w:val="00A61DD1"/>
    <w:rsid w:val="00A7315F"/>
    <w:rsid w:val="00AD2496"/>
    <w:rsid w:val="00AF2F1A"/>
    <w:rsid w:val="00B35EBB"/>
    <w:rsid w:val="00B42A56"/>
    <w:rsid w:val="00B579A2"/>
    <w:rsid w:val="00B93382"/>
    <w:rsid w:val="00CB6D49"/>
    <w:rsid w:val="00CD4F20"/>
    <w:rsid w:val="00CD5FC3"/>
    <w:rsid w:val="00D053E5"/>
    <w:rsid w:val="00D27488"/>
    <w:rsid w:val="00D5108C"/>
    <w:rsid w:val="00DC0D1E"/>
    <w:rsid w:val="00DD2586"/>
    <w:rsid w:val="00E06BD4"/>
    <w:rsid w:val="00E83920"/>
    <w:rsid w:val="00EB3CCF"/>
    <w:rsid w:val="00F01129"/>
    <w:rsid w:val="00F1526E"/>
    <w:rsid w:val="00FF17DE"/>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B688A"/>
  <w15:chartTrackingRefBased/>
  <w15:docId w15:val="{B98384E9-DAC0-4800-8C20-5ECC5138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0"/>
    <w:pPr>
      <w:spacing w:after="120"/>
    </w:pPr>
    <w:rPr>
      <w:sz w:val="20"/>
    </w:rPr>
  </w:style>
  <w:style w:type="paragraph" w:styleId="Heading1">
    <w:name w:val="heading 1"/>
    <w:basedOn w:val="Normal"/>
    <w:next w:val="Normal"/>
    <w:link w:val="Heading1Char"/>
    <w:uiPriority w:val="9"/>
    <w:qFormat/>
    <w:rsid w:val="00AF2F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qFormat/>
    <w:rsid w:val="000119E0"/>
    <w:pPr>
      <w:keepNext/>
      <w:keepLines/>
      <w:spacing w:line="216" w:lineRule="auto"/>
      <w:outlineLvl w:val="1"/>
    </w:pPr>
    <w:rPr>
      <w:rFonts w:asciiTheme="majorHAnsi" w:eastAsiaTheme="majorEastAsia" w:hAnsiTheme="majorHAnsi" w:cstheme="majorBidi"/>
      <w:b/>
      <w:bCs/>
      <w:color w:val="000000" w:themeColor="text1"/>
      <w:sz w:val="24"/>
      <w:szCs w:val="26"/>
      <w:lang w:val="en-GB"/>
    </w:rPr>
  </w:style>
  <w:style w:type="paragraph" w:styleId="Heading3">
    <w:name w:val="heading 3"/>
    <w:basedOn w:val="Normal"/>
    <w:next w:val="BodyText"/>
    <w:link w:val="Heading3Char"/>
    <w:uiPriority w:val="9"/>
    <w:qFormat/>
    <w:rsid w:val="000119E0"/>
    <w:pPr>
      <w:keepNext/>
      <w:keepLines/>
      <w:spacing w:line="216" w:lineRule="auto"/>
      <w:outlineLvl w:val="2"/>
    </w:pPr>
    <w:rPr>
      <w:rFonts w:asciiTheme="majorHAnsi" w:eastAsiaTheme="majorEastAsia" w:hAnsiTheme="majorHAnsi" w:cstheme="majorBidi"/>
      <w:b/>
      <w:bCs/>
      <w:color w:val="000000" w:themeColor="text1"/>
      <w:lang w:val="en-GB"/>
    </w:rPr>
  </w:style>
  <w:style w:type="paragraph" w:styleId="Heading4">
    <w:name w:val="heading 4"/>
    <w:basedOn w:val="Normal"/>
    <w:next w:val="Normal"/>
    <w:link w:val="Heading4Char"/>
    <w:uiPriority w:val="9"/>
    <w:semiHidden/>
    <w:unhideWhenUsed/>
    <w:qFormat/>
    <w:rsid w:val="002172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9E0"/>
    <w:rPr>
      <w:rFonts w:asciiTheme="majorHAnsi" w:eastAsiaTheme="majorEastAsia" w:hAnsiTheme="majorHAnsi" w:cstheme="majorBidi"/>
      <w:b/>
      <w:bCs/>
      <w:color w:val="000000" w:themeColor="text1"/>
      <w:sz w:val="24"/>
      <w:szCs w:val="26"/>
      <w:lang w:val="en-GB"/>
    </w:rPr>
  </w:style>
  <w:style w:type="character" w:customStyle="1" w:styleId="Heading3Char">
    <w:name w:val="Heading 3 Char"/>
    <w:basedOn w:val="DefaultParagraphFont"/>
    <w:link w:val="Heading3"/>
    <w:uiPriority w:val="9"/>
    <w:rsid w:val="000119E0"/>
    <w:rPr>
      <w:rFonts w:asciiTheme="majorHAnsi" w:eastAsiaTheme="majorEastAsia" w:hAnsiTheme="majorHAnsi" w:cstheme="majorBidi"/>
      <w:b/>
      <w:bCs/>
      <w:color w:val="000000" w:themeColor="text1"/>
      <w:sz w:val="20"/>
      <w:lang w:val="en-GB"/>
    </w:rPr>
  </w:style>
  <w:style w:type="paragraph" w:styleId="BodyText">
    <w:name w:val="Body Text"/>
    <w:basedOn w:val="Normal"/>
    <w:link w:val="BodyTextChar"/>
    <w:uiPriority w:val="14"/>
    <w:qFormat/>
    <w:rsid w:val="000119E0"/>
    <w:pPr>
      <w:spacing w:line="240" w:lineRule="auto"/>
    </w:pPr>
    <w:rPr>
      <w:color w:val="000000" w:themeColor="text1"/>
      <w:lang w:val="en-GB"/>
    </w:rPr>
  </w:style>
  <w:style w:type="character" w:customStyle="1" w:styleId="BodyTextChar">
    <w:name w:val="Body Text Char"/>
    <w:basedOn w:val="DefaultParagraphFont"/>
    <w:link w:val="BodyText"/>
    <w:uiPriority w:val="14"/>
    <w:rsid w:val="000119E0"/>
    <w:rPr>
      <w:color w:val="000000" w:themeColor="text1"/>
      <w:sz w:val="20"/>
      <w:lang w:val="en-GB"/>
    </w:rPr>
  </w:style>
  <w:style w:type="paragraph" w:styleId="Title">
    <w:name w:val="Title"/>
    <w:basedOn w:val="Normal"/>
    <w:next w:val="Subtitle"/>
    <w:link w:val="TitleChar"/>
    <w:uiPriority w:val="30"/>
    <w:qFormat/>
    <w:rsid w:val="000119E0"/>
    <w:pPr>
      <w:keepNext/>
      <w:keepLines/>
      <w:spacing w:after="440" w:line="192" w:lineRule="auto"/>
      <w:contextualSpacing/>
    </w:pPr>
    <w:rPr>
      <w:rFonts w:asciiTheme="majorHAnsi" w:eastAsiaTheme="majorEastAsia" w:hAnsiTheme="majorHAnsi" w:cstheme="majorBidi"/>
      <w:b/>
      <w:color w:val="000000" w:themeColor="text1"/>
      <w:sz w:val="80"/>
      <w:szCs w:val="52"/>
      <w:lang w:val="en-GB"/>
    </w:rPr>
  </w:style>
  <w:style w:type="character" w:customStyle="1" w:styleId="TitleChar">
    <w:name w:val="Title Char"/>
    <w:basedOn w:val="DefaultParagraphFont"/>
    <w:link w:val="Title"/>
    <w:uiPriority w:val="30"/>
    <w:rsid w:val="000119E0"/>
    <w:rPr>
      <w:rFonts w:asciiTheme="majorHAnsi" w:eastAsiaTheme="majorEastAsia" w:hAnsiTheme="majorHAnsi" w:cstheme="majorBidi"/>
      <w:b/>
      <w:color w:val="000000" w:themeColor="text1"/>
      <w:sz w:val="80"/>
      <w:szCs w:val="52"/>
      <w:lang w:val="en-GB"/>
    </w:rPr>
  </w:style>
  <w:style w:type="paragraph" w:styleId="Subtitle">
    <w:name w:val="Subtitle"/>
    <w:basedOn w:val="Normal"/>
    <w:next w:val="BodyText"/>
    <w:link w:val="SubtitleChar"/>
    <w:uiPriority w:val="31"/>
    <w:qFormat/>
    <w:rsid w:val="000119E0"/>
    <w:pPr>
      <w:keepNext/>
      <w:keepLines/>
      <w:numPr>
        <w:ilvl w:val="1"/>
      </w:numPr>
      <w:spacing w:after="160" w:line="216" w:lineRule="auto"/>
    </w:pPr>
    <w:rPr>
      <w:rFonts w:asciiTheme="majorHAnsi" w:eastAsiaTheme="majorEastAsia" w:hAnsiTheme="majorHAnsi" w:cstheme="majorBidi"/>
      <w:b/>
      <w:iCs/>
      <w:color w:val="000000" w:themeColor="text1"/>
      <w:sz w:val="40"/>
      <w:szCs w:val="24"/>
      <w:lang w:val="en-GB"/>
    </w:rPr>
  </w:style>
  <w:style w:type="character" w:customStyle="1" w:styleId="SubtitleChar">
    <w:name w:val="Subtitle Char"/>
    <w:basedOn w:val="DefaultParagraphFont"/>
    <w:link w:val="Subtitle"/>
    <w:uiPriority w:val="31"/>
    <w:rsid w:val="000119E0"/>
    <w:rPr>
      <w:rFonts w:asciiTheme="majorHAnsi" w:eastAsiaTheme="majorEastAsia" w:hAnsiTheme="majorHAnsi" w:cstheme="majorBidi"/>
      <w:b/>
      <w:iCs/>
      <w:color w:val="000000" w:themeColor="text1"/>
      <w:sz w:val="40"/>
      <w:szCs w:val="24"/>
      <w:lang w:val="en-GB"/>
    </w:rPr>
  </w:style>
  <w:style w:type="numbering" w:customStyle="1" w:styleId="ListBullets">
    <w:name w:val="__List Bullets"/>
    <w:uiPriority w:val="99"/>
    <w:rsid w:val="000119E0"/>
    <w:pPr>
      <w:numPr>
        <w:numId w:val="1"/>
      </w:numPr>
    </w:pPr>
  </w:style>
  <w:style w:type="table" w:styleId="TableGrid">
    <w:name w:val="Table Grid"/>
    <w:basedOn w:val="TableNormal"/>
    <w:uiPriority w:val="39"/>
    <w:unhideWhenUsed/>
    <w:rsid w:val="000119E0"/>
    <w:pPr>
      <w:spacing w:after="0" w:line="240" w:lineRule="auto"/>
    </w:pPr>
    <w:rPr>
      <w:lang w:val="en-GB"/>
    </w:rPr>
    <w:tblPr>
      <w:tblCellMar>
        <w:left w:w="0" w:type="dxa"/>
        <w:right w:w="0" w:type="dxa"/>
      </w:tblCellMar>
    </w:tblPr>
  </w:style>
  <w:style w:type="paragraph" w:styleId="ListBullet">
    <w:name w:val="List Bullet"/>
    <w:basedOn w:val="BodyText"/>
    <w:uiPriority w:val="15"/>
    <w:qFormat/>
    <w:rsid w:val="000119E0"/>
    <w:pPr>
      <w:numPr>
        <w:numId w:val="2"/>
      </w:numPr>
      <w:contextualSpacing/>
    </w:pPr>
  </w:style>
  <w:style w:type="table" w:customStyle="1" w:styleId="CompuMarkTable">
    <w:name w:val="__CompuMark Table"/>
    <w:basedOn w:val="TableNormal"/>
    <w:uiPriority w:val="99"/>
    <w:rsid w:val="000119E0"/>
    <w:pPr>
      <w:spacing w:after="0" w:line="240" w:lineRule="auto"/>
    </w:pPr>
    <w:rPr>
      <w:sz w:val="20"/>
      <w:lang w:val="en-GB"/>
    </w:rPr>
    <w:tblPr>
      <w:tblBorders>
        <w:insideH w:val="single" w:sz="4" w:space="0" w:color="000000" w:themeColor="text1"/>
      </w:tblBorders>
      <w:tblCellMar>
        <w:top w:w="142" w:type="dxa"/>
        <w:left w:w="0" w:type="dxa"/>
        <w:bottom w:w="142" w:type="dxa"/>
        <w:right w:w="113" w:type="dxa"/>
      </w:tblCellMar>
    </w:tblPr>
    <w:tblStylePr w:type="firstRow">
      <w:tblPr/>
      <w:tcPr>
        <w:tcBorders>
          <w:top w:val="single" w:sz="4" w:space="0" w:color="44546A" w:themeColor="text2"/>
          <w:left w:val="nil"/>
          <w:bottom w:val="nil"/>
          <w:right w:val="nil"/>
          <w:insideH w:val="nil"/>
          <w:insideV w:val="nil"/>
          <w:tl2br w:val="nil"/>
          <w:tr2bl w:val="nil"/>
        </w:tcBorders>
      </w:tcPr>
    </w:tblStylePr>
  </w:style>
  <w:style w:type="paragraph" w:customStyle="1" w:styleId="TableTitle">
    <w:name w:val="Table Title"/>
    <w:basedOn w:val="Normal"/>
    <w:uiPriority w:val="18"/>
    <w:qFormat/>
    <w:rsid w:val="000119E0"/>
    <w:pPr>
      <w:pBdr>
        <w:top w:val="single" w:sz="4" w:space="6" w:color="44546A" w:themeColor="text2"/>
      </w:pBdr>
      <w:spacing w:line="240" w:lineRule="auto"/>
    </w:pPr>
    <w:rPr>
      <w:color w:val="000000" w:themeColor="text1"/>
      <w:lang w:val="en-GB"/>
    </w:rPr>
  </w:style>
  <w:style w:type="paragraph" w:customStyle="1" w:styleId="CoverHeading">
    <w:name w:val="Cover Heading"/>
    <w:basedOn w:val="Normal"/>
    <w:uiPriority w:val="33"/>
    <w:qFormat/>
    <w:rsid w:val="000119E0"/>
    <w:pPr>
      <w:keepNext/>
      <w:keepLines/>
      <w:spacing w:after="300" w:line="216" w:lineRule="auto"/>
    </w:pPr>
    <w:rPr>
      <w:rFonts w:asciiTheme="majorHAnsi" w:hAnsiTheme="majorHAnsi"/>
      <w:b/>
      <w:color w:val="000000" w:themeColor="text1"/>
      <w:lang w:val="en-GB"/>
    </w:rPr>
  </w:style>
  <w:style w:type="paragraph" w:styleId="Header">
    <w:name w:val="header"/>
    <w:basedOn w:val="Normal"/>
    <w:link w:val="HeaderChar"/>
    <w:uiPriority w:val="99"/>
    <w:semiHidden/>
    <w:rsid w:val="000119E0"/>
    <w:pPr>
      <w:spacing w:after="0" w:line="240" w:lineRule="auto"/>
    </w:pPr>
  </w:style>
  <w:style w:type="character" w:customStyle="1" w:styleId="HeaderChar">
    <w:name w:val="Header Char"/>
    <w:basedOn w:val="DefaultParagraphFont"/>
    <w:link w:val="Header"/>
    <w:uiPriority w:val="99"/>
    <w:semiHidden/>
    <w:rsid w:val="000119E0"/>
    <w:rPr>
      <w:sz w:val="20"/>
    </w:rPr>
  </w:style>
  <w:style w:type="paragraph" w:styleId="Footer">
    <w:name w:val="footer"/>
    <w:basedOn w:val="Normal"/>
    <w:link w:val="FooterChar"/>
    <w:uiPriority w:val="99"/>
    <w:rsid w:val="000119E0"/>
    <w:pPr>
      <w:tabs>
        <w:tab w:val="left" w:pos="0"/>
      </w:tabs>
      <w:spacing w:after="0" w:line="240" w:lineRule="auto"/>
      <w:ind w:left="-2381"/>
    </w:pPr>
  </w:style>
  <w:style w:type="character" w:customStyle="1" w:styleId="FooterChar">
    <w:name w:val="Footer Char"/>
    <w:basedOn w:val="DefaultParagraphFont"/>
    <w:link w:val="Footer"/>
    <w:uiPriority w:val="99"/>
    <w:rsid w:val="000119E0"/>
    <w:rPr>
      <w:sz w:val="20"/>
    </w:rPr>
  </w:style>
  <w:style w:type="character" w:styleId="Hyperlink">
    <w:name w:val="Hyperlink"/>
    <w:basedOn w:val="DefaultParagraphFont"/>
    <w:uiPriority w:val="99"/>
    <w:unhideWhenUsed/>
    <w:rsid w:val="000119E0"/>
    <w:rPr>
      <w:b/>
      <w:color w:val="000000" w:themeColor="text1"/>
      <w:u w:val="single"/>
    </w:rPr>
  </w:style>
  <w:style w:type="paragraph" w:customStyle="1" w:styleId="Default">
    <w:name w:val="Default"/>
    <w:rsid w:val="000119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E0"/>
    <w:rPr>
      <w:rFonts w:ascii="Segoe UI" w:hAnsi="Segoe UI" w:cs="Segoe UI"/>
      <w:sz w:val="18"/>
      <w:szCs w:val="18"/>
    </w:rPr>
  </w:style>
  <w:style w:type="paragraph" w:styleId="ListParagraph">
    <w:name w:val="List Paragraph"/>
    <w:basedOn w:val="Normal"/>
    <w:uiPriority w:val="34"/>
    <w:qFormat/>
    <w:rsid w:val="000119E0"/>
    <w:pPr>
      <w:spacing w:after="0" w:line="240" w:lineRule="auto"/>
      <w:ind w:left="720"/>
    </w:pPr>
    <w:rPr>
      <w:rFonts w:ascii="Calibri" w:hAnsi="Calibri" w:cs="Calibri"/>
      <w:sz w:val="22"/>
    </w:rPr>
  </w:style>
  <w:style w:type="character" w:customStyle="1" w:styleId="Heading1Char">
    <w:name w:val="Heading 1 Char"/>
    <w:basedOn w:val="DefaultParagraphFont"/>
    <w:link w:val="Heading1"/>
    <w:uiPriority w:val="9"/>
    <w:rsid w:val="00AF2F1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172E4"/>
    <w:rPr>
      <w:rFonts w:asciiTheme="majorHAnsi" w:eastAsiaTheme="majorEastAsia" w:hAnsiTheme="majorHAnsi" w:cstheme="majorBidi"/>
      <w:i/>
      <w:iCs/>
      <w:color w:val="2F5496" w:themeColor="accent1" w:themeShade="BF"/>
      <w:sz w:val="20"/>
    </w:rPr>
  </w:style>
  <w:style w:type="table" w:styleId="PlainTable2">
    <w:name w:val="Plain Table 2"/>
    <w:basedOn w:val="TableNormal"/>
    <w:uiPriority w:val="42"/>
    <w:rsid w:val="00DD25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69728">
      <w:bodyDiv w:val="1"/>
      <w:marLeft w:val="0"/>
      <w:marRight w:val="0"/>
      <w:marTop w:val="0"/>
      <w:marBottom w:val="0"/>
      <w:divBdr>
        <w:top w:val="none" w:sz="0" w:space="0" w:color="auto"/>
        <w:left w:val="none" w:sz="0" w:space="0" w:color="auto"/>
        <w:bottom w:val="none" w:sz="0" w:space="0" w:color="auto"/>
        <w:right w:val="none" w:sz="0" w:space="0" w:color="auto"/>
      </w:divBdr>
    </w:div>
    <w:div w:id="10936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pumar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riv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C52EC3754314E903F701FEDB9E77B" ma:contentTypeVersion="13" ma:contentTypeDescription="Create a new document." ma:contentTypeScope="" ma:versionID="5cdd50223c20b82d287e103cd535381c">
  <xsd:schema xmlns:xsd="http://www.w3.org/2001/XMLSchema" xmlns:xs="http://www.w3.org/2001/XMLSchema" xmlns:p="http://schemas.microsoft.com/office/2006/metadata/properties" xmlns:ns3="56fd10b8-a66a-4bc3-90ff-435865a4f2b3" xmlns:ns4="6c2f655e-4fe4-41bc-ac35-81eabaeff16e" targetNamespace="http://schemas.microsoft.com/office/2006/metadata/properties" ma:root="true" ma:fieldsID="b5eeca56fe6d9f49dd1db7a6e8a516c2" ns3:_="" ns4:_="">
    <xsd:import namespace="56fd10b8-a66a-4bc3-90ff-435865a4f2b3"/>
    <xsd:import namespace="6c2f655e-4fe4-41bc-ac35-81eabaeff1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d10b8-a66a-4bc3-90ff-435865a4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655e-4fe4-41bc-ac35-81eabaeff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D9DDA-11AF-4278-8671-42E35230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d10b8-a66a-4bc3-90ff-435865a4f2b3"/>
    <ds:schemaRef ds:uri="6c2f655e-4fe4-41bc-ac35-81eabaeff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7478E-4C8C-481A-A019-F335F6BC3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64E4B0-0B8F-43FE-9E1F-DC2FDBD85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Rachael</dc:creator>
  <cp:keywords/>
  <dc:description/>
  <cp:lastModifiedBy>Volpe, Rachael</cp:lastModifiedBy>
  <cp:revision>58</cp:revision>
  <dcterms:created xsi:type="dcterms:W3CDTF">2019-12-27T16:18:00Z</dcterms:created>
  <dcterms:modified xsi:type="dcterms:W3CDTF">2020-01-10T16:13:00Z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0x0101004C1C52EC3754314E903F701FEDB9E77B</vt:lpwstr>
  </property>
</Properties>
</file>