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022C" w14:textId="77777777" w:rsidR="000119E0" w:rsidRDefault="000119E0" w:rsidP="000119E0">
      <w:pPr>
        <w:pStyle w:val="Title"/>
        <w:spacing w:after="0"/>
        <w:rPr>
          <w:sz w:val="40"/>
        </w:rPr>
      </w:pPr>
    </w:p>
    <w:p w14:paraId="1D7E41C8" w14:textId="77777777" w:rsidR="000119E0" w:rsidRPr="000119E0" w:rsidRDefault="000119E0" w:rsidP="000119E0">
      <w:pPr>
        <w:jc w:val="both"/>
        <w:rPr>
          <w:rFonts w:eastAsia="Times New Roman"/>
          <w:i/>
        </w:rPr>
      </w:pPr>
      <w:r w:rsidRPr="000119E0">
        <w:rPr>
          <w:rFonts w:eastAsia="Times New Roman"/>
          <w:i/>
          <w:iCs/>
        </w:rPr>
        <w:t>This document is intended for CompuMark law firms and partners to build in their branded templates and share with their clients</w:t>
      </w:r>
    </w:p>
    <w:p w14:paraId="0FAE496F" w14:textId="77777777" w:rsidR="000119E0" w:rsidRPr="000119E0" w:rsidRDefault="000119E0" w:rsidP="000119E0">
      <w:pPr>
        <w:jc w:val="both"/>
        <w:rPr>
          <w:rFonts w:eastAsia="Times New Roman"/>
          <w:i/>
        </w:rPr>
      </w:pPr>
    </w:p>
    <w:p w14:paraId="2C43EE82" w14:textId="77777777" w:rsidR="000119E0" w:rsidRPr="000119E0" w:rsidRDefault="000119E0" w:rsidP="000119E0">
      <w:pPr>
        <w:jc w:val="both"/>
        <w:rPr>
          <w:rFonts w:eastAsia="Times New Roman"/>
          <w:i/>
        </w:rPr>
      </w:pPr>
      <w:proofErr w:type="gramStart"/>
      <w:r w:rsidRPr="000119E0">
        <w:rPr>
          <w:rFonts w:eastAsia="Times New Roman"/>
          <w:i/>
        </w:rPr>
        <w:t>As long as</w:t>
      </w:r>
      <w:proofErr w:type="gramEnd"/>
      <w:r w:rsidRPr="000119E0">
        <w:rPr>
          <w:rFonts w:eastAsia="Times New Roman"/>
          <w:i/>
        </w:rPr>
        <w:t xml:space="preserve"> the template is active on CompuMark’s Watch Resource Center, CompuMark Watch Customers may use this template to create a Customer branded document to share with their clients. Customer understands that they must check the Resource Center regularly to ensure the template is still in use and that Customer is using the most current version of the template.  Customer agrees that CompuMark may terminate permission to use the template at any time. </w:t>
      </w:r>
      <w:r>
        <w:rPr>
          <w:sz w:val="40"/>
        </w:rPr>
        <w:br w:type="page"/>
      </w:r>
    </w:p>
    <w:p w14:paraId="0F1DCD4B" w14:textId="412990A3" w:rsidR="006A4888" w:rsidRPr="006A4888" w:rsidRDefault="006A4888" w:rsidP="006A4888">
      <w:pPr>
        <w:rPr>
          <w:noProof/>
          <w:color w:val="000000" w:themeColor="text1"/>
          <w:lang w:val="en-GB"/>
        </w:rPr>
      </w:pPr>
      <w:r>
        <w:rPr>
          <w:sz w:val="28"/>
          <w:szCs w:val="28"/>
        </w:rPr>
        <w:lastRenderedPageBreak/>
        <w:t>Trademark Watching</w:t>
      </w:r>
    </w:p>
    <w:p w14:paraId="4521BA22" w14:textId="11C35EF0" w:rsidR="000119E0" w:rsidRPr="000119E0" w:rsidRDefault="006A4888" w:rsidP="006A4888">
      <w:pPr>
        <w:pStyle w:val="Title"/>
        <w:spacing w:after="0"/>
        <w:rPr>
          <w:sz w:val="40"/>
        </w:rPr>
      </w:pPr>
      <w:r w:rsidRPr="006A4888">
        <w:rPr>
          <w:sz w:val="40"/>
        </w:rPr>
        <w:t>Guard your brand and</w:t>
      </w:r>
      <w:r>
        <w:rPr>
          <w:sz w:val="40"/>
        </w:rPr>
        <w:t xml:space="preserve"> </w:t>
      </w:r>
      <w:r w:rsidRPr="006A4888">
        <w:rPr>
          <w:sz w:val="40"/>
        </w:rPr>
        <w:t>protect your investment</w:t>
      </w:r>
    </w:p>
    <w:p w14:paraId="0CCE0EEF" w14:textId="77777777" w:rsidR="000119E0" w:rsidRDefault="000119E0" w:rsidP="000119E0">
      <w:pPr>
        <w:pStyle w:val="Heading2"/>
        <w:rPr>
          <w:lang w:val="en-US"/>
        </w:rPr>
      </w:pPr>
    </w:p>
    <w:p w14:paraId="581FAD1B" w14:textId="77777777" w:rsidR="000119E0" w:rsidRPr="000119E0" w:rsidRDefault="000119E0" w:rsidP="000119E0">
      <w:pPr>
        <w:pStyle w:val="BodyText"/>
        <w:rPr>
          <w:lang w:val="en-US"/>
        </w:rPr>
        <w:sectPr w:rsidR="000119E0" w:rsidRPr="000119E0" w:rsidSect="000119E0">
          <w:footerReference w:type="first" r:id="rId10"/>
          <w:pgSz w:w="12240" w:h="15840" w:code="1"/>
          <w:pgMar w:top="1440" w:right="1440" w:bottom="1440" w:left="1440" w:header="288" w:footer="792" w:gutter="0"/>
          <w:cols w:space="708"/>
          <w:titlePg/>
          <w:docGrid w:linePitch="360"/>
        </w:sectPr>
      </w:pPr>
    </w:p>
    <w:p w14:paraId="5CAA42A5" w14:textId="77777777" w:rsidR="006C723D" w:rsidRDefault="006C723D" w:rsidP="000119E0">
      <w:pPr>
        <w:pStyle w:val="BodyText"/>
        <w:rPr>
          <w:rFonts w:asciiTheme="majorHAnsi" w:eastAsiaTheme="majorEastAsia" w:hAnsiTheme="majorHAnsi" w:cstheme="majorBidi"/>
          <w:b/>
          <w:bCs/>
          <w:sz w:val="24"/>
          <w:szCs w:val="26"/>
        </w:rPr>
      </w:pPr>
      <w:r w:rsidRPr="006C723D">
        <w:rPr>
          <w:rFonts w:asciiTheme="majorHAnsi" w:eastAsiaTheme="majorEastAsia" w:hAnsiTheme="majorHAnsi" w:cstheme="majorBidi"/>
          <w:b/>
          <w:bCs/>
          <w:sz w:val="24"/>
          <w:szCs w:val="26"/>
        </w:rPr>
        <w:t>Strong brands deserve strong protection</w:t>
      </w:r>
    </w:p>
    <w:p w14:paraId="5105499E" w14:textId="77777777" w:rsidR="00495240" w:rsidRPr="00495240" w:rsidRDefault="00495240" w:rsidP="00495240">
      <w:pPr>
        <w:pStyle w:val="BodyText"/>
        <w:rPr>
          <w:rStyle w:val="BodyTextChar"/>
        </w:rPr>
      </w:pPr>
      <w:r w:rsidRPr="00495240">
        <w:rPr>
          <w:rStyle w:val="BodyTextChar"/>
        </w:rPr>
        <w:t>Your trademark – your product or service name, symbol or logo – is one of your company’s most valuable assets. Because of its power to drive product recognition, customer loyalty and market opportunities, a strong trademark has substantial value. It’s not unusual for companies to invest millions in building their brands over time.</w:t>
      </w:r>
    </w:p>
    <w:p w14:paraId="5D56FA31" w14:textId="303BA352" w:rsidR="000119E0" w:rsidRDefault="00495240" w:rsidP="000119E0">
      <w:pPr>
        <w:pStyle w:val="BodyText"/>
        <w:rPr>
          <w:rStyle w:val="BodyTextChar"/>
        </w:rPr>
      </w:pPr>
      <w:r w:rsidRPr="00495240">
        <w:rPr>
          <w:rStyle w:val="BodyTextChar"/>
        </w:rPr>
        <w:t>However, that value can be compromised. With rising global trademark filings, proliferating online and offline channels, exploding social media and web content, valuable brands are more vulnerable than ever before. Trademark confusion, infringement and theft can occur at</w:t>
      </w:r>
      <w:r>
        <w:rPr>
          <w:rStyle w:val="BodyTextChar"/>
        </w:rPr>
        <w:t xml:space="preserve"> </w:t>
      </w:r>
      <w:r w:rsidRPr="00495240">
        <w:rPr>
          <w:rStyle w:val="BodyTextChar"/>
        </w:rPr>
        <w:t>any time, without your knowledge,</w:t>
      </w:r>
      <w:r>
        <w:rPr>
          <w:rStyle w:val="BodyTextChar"/>
        </w:rPr>
        <w:t xml:space="preserve"> </w:t>
      </w:r>
      <w:r w:rsidRPr="00495240">
        <w:rPr>
          <w:rStyle w:val="BodyTextChar"/>
        </w:rPr>
        <w:t>with significant impact to your bottom line.</w:t>
      </w:r>
    </w:p>
    <w:p w14:paraId="7AF5554E" w14:textId="77777777" w:rsidR="00D027BF" w:rsidRDefault="00D027BF" w:rsidP="000119E0">
      <w:pPr>
        <w:pStyle w:val="BodyText"/>
      </w:pPr>
    </w:p>
    <w:p w14:paraId="7E26B7F4" w14:textId="05EE89AC" w:rsidR="00D027BF" w:rsidRDefault="00D027BF" w:rsidP="000119E0">
      <w:pPr>
        <w:pStyle w:val="BodyText"/>
        <w:rPr>
          <w:b/>
          <w:i/>
          <w:lang w:val="en-US"/>
        </w:rPr>
      </w:pPr>
      <w:r w:rsidRPr="00D027BF">
        <w:rPr>
          <w:b/>
          <w:i/>
          <w:lang w:val="en-US"/>
        </w:rPr>
        <w:t>"Trademark confusion, infringement and theft can occur at any time, without your knowledge, with significant impact to your bottom line."</w:t>
      </w:r>
    </w:p>
    <w:p w14:paraId="2B243E83" w14:textId="30D68D58" w:rsidR="00D027BF" w:rsidRDefault="00D027BF" w:rsidP="000119E0">
      <w:pPr>
        <w:pStyle w:val="BodyText"/>
        <w:rPr>
          <w:lang w:val="en-US"/>
        </w:rPr>
      </w:pPr>
    </w:p>
    <w:p w14:paraId="26088F71" w14:textId="4F7FD3C5" w:rsidR="00A67965" w:rsidRDefault="00A67965" w:rsidP="00A67965">
      <w:pPr>
        <w:pStyle w:val="BodyText"/>
      </w:pPr>
      <w:r>
        <w:t>Consider the following common examples:</w:t>
      </w:r>
    </w:p>
    <w:p w14:paraId="3173B3B9" w14:textId="1730AA8E" w:rsidR="00A67965" w:rsidRDefault="00A67965" w:rsidP="00A67965">
      <w:pPr>
        <w:pStyle w:val="BodyText"/>
        <w:numPr>
          <w:ilvl w:val="0"/>
          <w:numId w:val="4"/>
        </w:numPr>
      </w:pPr>
      <w:r>
        <w:t xml:space="preserve">A company or product of lesser quality uses a mark </w:t>
      </w:r>
      <w:proofErr w:type="gramStart"/>
      <w:r>
        <w:t>similar to</w:t>
      </w:r>
      <w:proofErr w:type="gramEnd"/>
      <w:r>
        <w:t xml:space="preserve"> yours, knowingly or unknowingly, confusing consumers and impacting your brand equity.</w:t>
      </w:r>
    </w:p>
    <w:p w14:paraId="3EC29999" w14:textId="79E2662C" w:rsidR="00A67965" w:rsidRDefault="00A67965" w:rsidP="00A67965">
      <w:pPr>
        <w:pStyle w:val="BodyText"/>
        <w:numPr>
          <w:ilvl w:val="0"/>
          <w:numId w:val="4"/>
        </w:numPr>
      </w:pPr>
      <w:r>
        <w:t>Your trademark or brand is used generically, diluting its value to your company.</w:t>
      </w:r>
    </w:p>
    <w:p w14:paraId="4A8B50CF" w14:textId="4A2EA411" w:rsidR="00A67965" w:rsidRDefault="00A67965" w:rsidP="00A67965">
      <w:pPr>
        <w:pStyle w:val="BodyText"/>
        <w:numPr>
          <w:ilvl w:val="0"/>
          <w:numId w:val="4"/>
        </w:numPr>
      </w:pPr>
      <w:r>
        <w:t>Your trademark or brand is used on a website without proper authorization.</w:t>
      </w:r>
    </w:p>
    <w:p w14:paraId="5DA7E0F3" w14:textId="41A786B2" w:rsidR="00A67965" w:rsidRDefault="00A67965" w:rsidP="00A67965">
      <w:pPr>
        <w:pStyle w:val="BodyText"/>
        <w:numPr>
          <w:ilvl w:val="0"/>
          <w:numId w:val="4"/>
        </w:numPr>
      </w:pPr>
      <w:r>
        <w:t>Your product or counterfeit products are sold without your authorization on Internet auction sites.</w:t>
      </w:r>
    </w:p>
    <w:p w14:paraId="0C6DBC9F" w14:textId="77777777" w:rsidR="00A67965" w:rsidRDefault="00A67965" w:rsidP="00A67965">
      <w:pPr>
        <w:pStyle w:val="BodyText"/>
      </w:pPr>
      <w:r>
        <w:t xml:space="preserve"> </w:t>
      </w:r>
    </w:p>
    <w:p w14:paraId="68E9DA47" w14:textId="77777777" w:rsidR="00A67965" w:rsidRPr="00782D0D" w:rsidRDefault="00A67965" w:rsidP="00A67965">
      <w:pPr>
        <w:pStyle w:val="BodyText"/>
        <w:rPr>
          <w:b/>
          <w:sz w:val="24"/>
        </w:rPr>
      </w:pPr>
      <w:r w:rsidRPr="00782D0D">
        <w:rPr>
          <w:b/>
          <w:sz w:val="24"/>
        </w:rPr>
        <w:t>The value of watching</w:t>
      </w:r>
    </w:p>
    <w:p w14:paraId="6E67D0AC" w14:textId="77777777" w:rsidR="00A67965" w:rsidRDefault="00A67965" w:rsidP="00A67965">
      <w:pPr>
        <w:pStyle w:val="BodyText"/>
      </w:pPr>
      <w:r>
        <w:t>Proactive trademark watching is one of the most important ways to protect your brand. Trademark watching services monitor trademark applications, publications and/ or use, systematically identifying exact and confusingly similar marks, unauthorized brand usage and infringement – notifying you when conflicting marks are identified.</w:t>
      </w:r>
    </w:p>
    <w:p w14:paraId="31F9341F" w14:textId="3D1276ED" w:rsidR="00D027BF" w:rsidRPr="00A67965" w:rsidRDefault="00A67965" w:rsidP="00A67965">
      <w:pPr>
        <w:pStyle w:val="BodyText"/>
      </w:pPr>
      <w:r>
        <w:t>Today, many companies consider trademark watching a cost-effective, “must have” insurance to help protect their valuable brands and manage business risk.</w:t>
      </w:r>
    </w:p>
    <w:p w14:paraId="000CB1D5" w14:textId="03193BA1" w:rsidR="00D027BF" w:rsidRDefault="00D027BF" w:rsidP="000119E0">
      <w:pPr>
        <w:pStyle w:val="BodyText"/>
      </w:pPr>
    </w:p>
    <w:p w14:paraId="2C93225F" w14:textId="77777777" w:rsidR="009B60F8" w:rsidRDefault="009B60F8">
      <w:pPr>
        <w:spacing w:after="160"/>
        <w:rPr>
          <w:b/>
          <w:color w:val="000000" w:themeColor="text1"/>
          <w:lang w:val="en-GB"/>
        </w:rPr>
      </w:pPr>
      <w:r>
        <w:rPr>
          <w:b/>
        </w:rPr>
        <w:br w:type="page"/>
      </w:r>
    </w:p>
    <w:p w14:paraId="7A1134E0" w14:textId="0FA0F2E6" w:rsidR="00E0244A" w:rsidRPr="00782D0D" w:rsidRDefault="00E0244A" w:rsidP="000119E0">
      <w:pPr>
        <w:pStyle w:val="BodyText"/>
        <w:rPr>
          <w:b/>
          <w:sz w:val="24"/>
        </w:rPr>
      </w:pPr>
      <w:r w:rsidRPr="00782D0D">
        <w:rPr>
          <w:b/>
          <w:sz w:val="24"/>
        </w:rPr>
        <w:lastRenderedPageBreak/>
        <w:t>Is someone imitating your brand?</w:t>
      </w:r>
    </w:p>
    <w:p w14:paraId="06FBC09F" w14:textId="40E32511" w:rsidR="00E0244A" w:rsidRDefault="009B60F8" w:rsidP="000119E0">
      <w:pPr>
        <w:pStyle w:val="BodyText"/>
      </w:pPr>
      <w:r>
        <w:rPr>
          <w:noProof/>
        </w:rPr>
        <w:drawing>
          <wp:inline distT="0" distB="0" distL="0" distR="0" wp14:anchorId="3335125D" wp14:editId="38A9D72A">
            <wp:extent cx="4971415" cy="21907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1415" cy="2190750"/>
                    </a:xfrm>
                    <a:prstGeom prst="rect">
                      <a:avLst/>
                    </a:prstGeom>
                    <a:noFill/>
                  </pic:spPr>
                </pic:pic>
              </a:graphicData>
            </a:graphic>
          </wp:inline>
        </w:drawing>
      </w:r>
    </w:p>
    <w:p w14:paraId="784A47EF" w14:textId="77777777" w:rsidR="00C678D1" w:rsidRDefault="00C678D1" w:rsidP="00C678D1">
      <w:pPr>
        <w:spacing w:before="136"/>
        <w:rPr>
          <w:sz w:val="12"/>
        </w:rPr>
      </w:pPr>
      <w:r>
        <w:rPr>
          <w:sz w:val="12"/>
        </w:rPr>
        <w:t>Not an actual record, provided for illustrative purposes.</w:t>
      </w:r>
    </w:p>
    <w:p w14:paraId="6511D5F7" w14:textId="3687D56B" w:rsidR="00C678D1" w:rsidRDefault="00C678D1" w:rsidP="000119E0">
      <w:pPr>
        <w:pStyle w:val="BodyText"/>
        <w:rPr>
          <w:lang w:val="en-US"/>
        </w:rPr>
      </w:pPr>
    </w:p>
    <w:p w14:paraId="2BCA89F8" w14:textId="73238292" w:rsidR="00B51CFC" w:rsidRPr="00782D0D" w:rsidRDefault="00B51CFC" w:rsidP="00B51CFC">
      <w:pPr>
        <w:pStyle w:val="BodyText"/>
        <w:rPr>
          <w:b/>
          <w:sz w:val="24"/>
        </w:rPr>
      </w:pPr>
      <w:r w:rsidRPr="00782D0D">
        <w:rPr>
          <w:b/>
          <w:sz w:val="24"/>
        </w:rPr>
        <w:t>Ex</w:t>
      </w:r>
      <w:r w:rsidR="00083D96">
        <w:rPr>
          <w:b/>
          <w:sz w:val="24"/>
        </w:rPr>
        <w:t>perience</w:t>
      </w:r>
      <w:r w:rsidRPr="00782D0D">
        <w:rPr>
          <w:b/>
          <w:sz w:val="24"/>
        </w:rPr>
        <w:t xml:space="preserve"> you can rely on</w:t>
      </w:r>
    </w:p>
    <w:p w14:paraId="06E4826D" w14:textId="6A0DC423" w:rsidR="00B51CFC" w:rsidRDefault="00B51CFC" w:rsidP="00B51CFC">
      <w:pPr>
        <w:pStyle w:val="BodyText"/>
      </w:pPr>
      <w:r>
        <w:t>Trademark watching requires specialized expe</w:t>
      </w:r>
      <w:r w:rsidR="00083D96">
        <w:t>rience</w:t>
      </w:r>
      <w:r>
        <w:t xml:space="preserve"> and resources. </w:t>
      </w:r>
      <w:r w:rsidR="00D45028">
        <w:t>Powered by</w:t>
      </w:r>
      <w:r>
        <w:t xml:space="preserve"> CompuMark,</w:t>
      </w:r>
      <w:r w:rsidR="00D45028">
        <w:t xml:space="preserve"> </w:t>
      </w:r>
      <w:r w:rsidR="00D45028" w:rsidRPr="00D45028">
        <w:rPr>
          <w:rFonts w:eastAsia="Times New Roman"/>
          <w:color w:val="FF0000"/>
        </w:rPr>
        <w:t>[</w:t>
      </w:r>
      <w:r w:rsidR="00D45028">
        <w:rPr>
          <w:rFonts w:eastAsia="Times New Roman"/>
          <w:color w:val="FF0000"/>
        </w:rPr>
        <w:t>Insert</w:t>
      </w:r>
      <w:r w:rsidR="00BE1E00">
        <w:rPr>
          <w:rFonts w:eastAsia="Times New Roman"/>
          <w:color w:val="FF0000"/>
        </w:rPr>
        <w:t xml:space="preserve"> </w:t>
      </w:r>
      <w:r w:rsidR="00D45028" w:rsidRPr="00D45028">
        <w:rPr>
          <w:rFonts w:eastAsia="Times New Roman"/>
          <w:color w:val="FF0000"/>
        </w:rPr>
        <w:t>Law Firm</w:t>
      </w:r>
      <w:r w:rsidR="00BE1E00">
        <w:rPr>
          <w:rFonts w:eastAsia="Times New Roman"/>
          <w:color w:val="FF0000"/>
        </w:rPr>
        <w:t xml:space="preserve"> Name</w:t>
      </w:r>
      <w:r w:rsidR="00D45028" w:rsidRPr="00D45028">
        <w:rPr>
          <w:rFonts w:eastAsia="Times New Roman"/>
          <w:color w:val="FF0000"/>
        </w:rPr>
        <w:t xml:space="preserve">] </w:t>
      </w:r>
      <w:r w:rsidR="00D45028" w:rsidRPr="00D45028">
        <w:rPr>
          <w:rFonts w:eastAsia="Times New Roman"/>
          <w:color w:val="auto"/>
        </w:rPr>
        <w:t>has</w:t>
      </w:r>
      <w:r>
        <w:t xml:space="preserve"> the knowledge and extensive resources – including proprietary global databases – to help uncover marks that might be overlooked by manual trademark watching.</w:t>
      </w:r>
    </w:p>
    <w:p w14:paraId="6BFFDF8D" w14:textId="718E5722" w:rsidR="00B51CFC" w:rsidRDefault="00954D74" w:rsidP="00B51CFC">
      <w:pPr>
        <w:pStyle w:val="BodyText"/>
      </w:pPr>
      <w:r>
        <w:rPr>
          <w:rFonts w:eastAsia="Times New Roman"/>
        </w:rPr>
        <w:t>Using CompuMark trusted products</w:t>
      </w:r>
      <w:r w:rsidR="00D45028">
        <w:rPr>
          <w:rFonts w:eastAsia="Times New Roman"/>
        </w:rPr>
        <w:t xml:space="preserve"> with</w:t>
      </w:r>
      <w:r>
        <w:rPr>
          <w:rFonts w:eastAsia="Times New Roman"/>
        </w:rPr>
        <w:t xml:space="preserve"> </w:t>
      </w:r>
      <w:r w:rsidR="00393F8F" w:rsidRPr="00D45028">
        <w:rPr>
          <w:rFonts w:eastAsia="Times New Roman"/>
          <w:color w:val="FF0000"/>
        </w:rPr>
        <w:t>[</w:t>
      </w:r>
      <w:r w:rsidR="00D45028">
        <w:rPr>
          <w:rFonts w:eastAsia="Times New Roman"/>
          <w:color w:val="FF0000"/>
        </w:rPr>
        <w:t xml:space="preserve">Insert </w:t>
      </w:r>
      <w:r w:rsidR="00393F8F" w:rsidRPr="00D45028">
        <w:rPr>
          <w:rFonts w:eastAsia="Times New Roman"/>
          <w:color w:val="FF0000"/>
        </w:rPr>
        <w:t>Law Firm</w:t>
      </w:r>
      <w:r w:rsidR="00BE1E00">
        <w:rPr>
          <w:rFonts w:eastAsia="Times New Roman"/>
          <w:color w:val="FF0000"/>
        </w:rPr>
        <w:t xml:space="preserve"> Name</w:t>
      </w:r>
      <w:r w:rsidR="00393F8F" w:rsidRPr="00D45028">
        <w:rPr>
          <w:rFonts w:eastAsia="Times New Roman"/>
          <w:color w:val="FF0000"/>
        </w:rPr>
        <w:t xml:space="preserve">] </w:t>
      </w:r>
      <w:r w:rsidR="00B51CFC">
        <w:t>as your trademark watching partner, you receive rapid notification of potential conflicts – so you can act quickly to protect your valuable brand assets.</w:t>
      </w:r>
    </w:p>
    <w:p w14:paraId="141342F7" w14:textId="1BF7FB17" w:rsidR="00C678D1" w:rsidRPr="00B51CFC" w:rsidRDefault="00B51CFC" w:rsidP="00B51CFC">
      <w:pPr>
        <w:pStyle w:val="BodyText"/>
      </w:pPr>
      <w:r>
        <w:t>We offer a range of watching services tailored to your needs:</w:t>
      </w:r>
    </w:p>
    <w:p w14:paraId="774CC16E" w14:textId="77777777" w:rsidR="00E91DE5" w:rsidRDefault="00E91DE5" w:rsidP="00E91DE5">
      <w:pPr>
        <w:pStyle w:val="BodyText"/>
        <w:rPr>
          <w:b/>
        </w:rPr>
      </w:pPr>
    </w:p>
    <w:p w14:paraId="0C3EA5E1" w14:textId="29C4A077" w:rsidR="00E91DE5" w:rsidRPr="00782D0D" w:rsidRDefault="00E91DE5" w:rsidP="00E91DE5">
      <w:pPr>
        <w:pStyle w:val="BodyText"/>
        <w:rPr>
          <w:b/>
          <w:sz w:val="22"/>
        </w:rPr>
      </w:pPr>
      <w:r w:rsidRPr="00782D0D">
        <w:rPr>
          <w:b/>
          <w:sz w:val="22"/>
        </w:rPr>
        <w:t>Trademark Watching</w:t>
      </w:r>
    </w:p>
    <w:p w14:paraId="5A6E52B2" w14:textId="77777777" w:rsidR="00E91DE5" w:rsidRDefault="00E91DE5" w:rsidP="00E91DE5">
      <w:pPr>
        <w:pStyle w:val="BodyText"/>
      </w:pPr>
      <w:r>
        <w:t xml:space="preserve">We alert you to trademarks that may be confusingly </w:t>
      </w:r>
      <w:proofErr w:type="gramStart"/>
      <w:r>
        <w:t>similar to</w:t>
      </w:r>
      <w:proofErr w:type="gramEnd"/>
      <w:r>
        <w:t xml:space="preserve"> yours, including word marks, logos and slogans. Timely reports provide clear, concise information, with fr</w:t>
      </w:r>
      <w:bookmarkStart w:id="0" w:name="_GoBack"/>
      <w:bookmarkEnd w:id="0"/>
      <w:r>
        <w:t>ee translations on request.</w:t>
      </w:r>
    </w:p>
    <w:p w14:paraId="5C1CE0D0" w14:textId="2A28D5EB" w:rsidR="00E91DE5" w:rsidRDefault="00E91DE5" w:rsidP="00E91DE5">
      <w:pPr>
        <w:pStyle w:val="BodyText"/>
      </w:pPr>
      <w:r>
        <w:t>Provides coverage around the world, including more than 200 countries.</w:t>
      </w:r>
    </w:p>
    <w:p w14:paraId="4517192E" w14:textId="77777777" w:rsidR="00E91DE5" w:rsidRDefault="00E91DE5" w:rsidP="00E91DE5">
      <w:pPr>
        <w:pStyle w:val="BodyText"/>
        <w:rPr>
          <w:b/>
        </w:rPr>
      </w:pPr>
    </w:p>
    <w:p w14:paraId="5AE966AD" w14:textId="7BA35C41" w:rsidR="00E91DE5" w:rsidRPr="00782D0D" w:rsidRDefault="00E91DE5" w:rsidP="00E91DE5">
      <w:pPr>
        <w:pStyle w:val="BodyText"/>
        <w:rPr>
          <w:b/>
          <w:sz w:val="22"/>
        </w:rPr>
      </w:pPr>
      <w:r w:rsidRPr="00782D0D">
        <w:rPr>
          <w:b/>
          <w:sz w:val="22"/>
        </w:rPr>
        <w:t>Comprehensive coverage</w:t>
      </w:r>
    </w:p>
    <w:p w14:paraId="04783DE4" w14:textId="1DA83190" w:rsidR="00E91DE5" w:rsidRDefault="00E91DE5" w:rsidP="00E91DE5">
      <w:pPr>
        <w:pStyle w:val="BodyText"/>
      </w:pPr>
      <w:r>
        <w:t>Our Watch coverage spans the full spectrum of trademark-rich common law and digital channels. Optimize your coverage, decreasing your chances of missing critical marks.</w:t>
      </w:r>
    </w:p>
    <w:p w14:paraId="39BAD610" w14:textId="1F9A583B" w:rsidR="00E91DE5" w:rsidRDefault="00E91DE5" w:rsidP="00E91DE5">
      <w:pPr>
        <w:pStyle w:val="BodyText"/>
      </w:pPr>
      <w:r>
        <w:t>Coverage Includes:</w:t>
      </w:r>
    </w:p>
    <w:p w14:paraId="4FB2EAC5" w14:textId="1D9A9441" w:rsidR="00E91DE5" w:rsidRDefault="00E91DE5" w:rsidP="00D45028">
      <w:pPr>
        <w:pStyle w:val="BodyText"/>
        <w:numPr>
          <w:ilvl w:val="0"/>
          <w:numId w:val="6"/>
        </w:numPr>
        <w:spacing w:after="0"/>
      </w:pPr>
      <w:r>
        <w:t>Word and design marks</w:t>
      </w:r>
    </w:p>
    <w:p w14:paraId="03EAC38D" w14:textId="0A7B318A" w:rsidR="00E91DE5" w:rsidRDefault="00E91DE5" w:rsidP="00D45028">
      <w:pPr>
        <w:pStyle w:val="BodyText"/>
        <w:numPr>
          <w:ilvl w:val="0"/>
          <w:numId w:val="6"/>
        </w:numPr>
        <w:spacing w:after="0"/>
      </w:pPr>
      <w:r>
        <w:t>Domain names (including ccTLDs, new and legacy gTLDs)</w:t>
      </w:r>
    </w:p>
    <w:p w14:paraId="605CB4C3" w14:textId="286223E8" w:rsidR="00E91DE5" w:rsidRDefault="00E91DE5" w:rsidP="00D45028">
      <w:pPr>
        <w:pStyle w:val="BodyText"/>
        <w:numPr>
          <w:ilvl w:val="0"/>
          <w:numId w:val="5"/>
        </w:numPr>
        <w:spacing w:after="0"/>
      </w:pPr>
      <w:r>
        <w:t>Social media usernames</w:t>
      </w:r>
    </w:p>
    <w:p w14:paraId="5F8F940D" w14:textId="52407D3C" w:rsidR="00E91DE5" w:rsidRDefault="00E91DE5" w:rsidP="00D45028">
      <w:pPr>
        <w:pStyle w:val="BodyText"/>
        <w:numPr>
          <w:ilvl w:val="0"/>
          <w:numId w:val="5"/>
        </w:numPr>
        <w:spacing w:after="0"/>
      </w:pPr>
      <w:r>
        <w:t>Mobile app names</w:t>
      </w:r>
    </w:p>
    <w:p w14:paraId="222F9030" w14:textId="262B44E5" w:rsidR="00E91DE5" w:rsidRDefault="00E91DE5" w:rsidP="00D45028">
      <w:pPr>
        <w:pStyle w:val="BodyText"/>
        <w:numPr>
          <w:ilvl w:val="0"/>
          <w:numId w:val="5"/>
        </w:numPr>
        <w:spacing w:after="0"/>
      </w:pPr>
      <w:r>
        <w:t>International business names</w:t>
      </w:r>
    </w:p>
    <w:p w14:paraId="15BB56A2" w14:textId="1D46CF8B" w:rsidR="00E91DE5" w:rsidRDefault="00E91DE5" w:rsidP="00D45028">
      <w:pPr>
        <w:pStyle w:val="BodyText"/>
        <w:numPr>
          <w:ilvl w:val="0"/>
          <w:numId w:val="5"/>
        </w:numPr>
        <w:spacing w:after="0"/>
      </w:pPr>
      <w:r>
        <w:t>Non-Latin character marks</w:t>
      </w:r>
    </w:p>
    <w:p w14:paraId="4EF74C7C" w14:textId="25E1081A" w:rsidR="00E91DE5" w:rsidRDefault="00E91DE5" w:rsidP="00D45028">
      <w:pPr>
        <w:pStyle w:val="BodyText"/>
        <w:numPr>
          <w:ilvl w:val="0"/>
          <w:numId w:val="5"/>
        </w:numPr>
        <w:spacing w:after="0"/>
      </w:pPr>
      <w:r>
        <w:t>Watch an entire class</w:t>
      </w:r>
    </w:p>
    <w:p w14:paraId="74CBA1E1" w14:textId="5C98176A" w:rsidR="002227AE" w:rsidRPr="002227AE" w:rsidRDefault="00E91DE5" w:rsidP="002227AE">
      <w:pPr>
        <w:pStyle w:val="BodyText"/>
        <w:numPr>
          <w:ilvl w:val="0"/>
          <w:numId w:val="5"/>
        </w:numPr>
        <w:spacing w:after="0"/>
      </w:pPr>
      <w:r>
        <w:t>Watch by applicant</w:t>
      </w:r>
    </w:p>
    <w:p w14:paraId="1B2D45B9" w14:textId="77777777" w:rsidR="002227AE" w:rsidRDefault="002227AE" w:rsidP="002227AE">
      <w:pPr>
        <w:spacing w:after="160"/>
        <w:rPr>
          <w:b/>
        </w:rPr>
        <w:sectPr w:rsidR="002227AE" w:rsidSect="000119E0">
          <w:footerReference w:type="first" r:id="rId12"/>
          <w:type w:val="continuous"/>
          <w:pgSz w:w="12240" w:h="15840" w:code="1"/>
          <w:pgMar w:top="1440" w:right="1440" w:bottom="1440" w:left="1440" w:header="288" w:footer="792" w:gutter="0"/>
          <w:cols w:space="144"/>
          <w:titlePg/>
          <w:docGrid w:linePitch="360"/>
        </w:sectPr>
      </w:pPr>
    </w:p>
    <w:p w14:paraId="384CFFC6" w14:textId="2E47FFCE" w:rsidR="00E91DE5" w:rsidRPr="00782D0D" w:rsidRDefault="00E91DE5" w:rsidP="002227AE">
      <w:pPr>
        <w:spacing w:after="160"/>
        <w:rPr>
          <w:b/>
          <w:color w:val="000000" w:themeColor="text1"/>
          <w:sz w:val="22"/>
          <w:lang w:val="en-GB"/>
        </w:rPr>
      </w:pPr>
      <w:r w:rsidRPr="00782D0D">
        <w:rPr>
          <w:b/>
          <w:sz w:val="22"/>
        </w:rPr>
        <w:lastRenderedPageBreak/>
        <w:t>Web Watch</w:t>
      </w:r>
    </w:p>
    <w:p w14:paraId="154E938C" w14:textId="610D2E93" w:rsidR="00E91DE5" w:rsidRDefault="00E91DE5" w:rsidP="00E91DE5">
      <w:pPr>
        <w:pStyle w:val="BodyText"/>
      </w:pPr>
      <w:r>
        <w:t xml:space="preserve">Watch the web for potential trademark abuse while watching your budget and saving valuable time. For a remarkably affordable cost, our Web Watch service provides a customized watch strategy to identify cases of trademark use or abuse that could negatively impact your brand – including unauthorized or generic trademark use, derogatory references, and confusing similarity. And Web Watch saves you time, too. </w:t>
      </w:r>
      <w:r w:rsidR="009902DA">
        <w:t>Using CompuMark products to</w:t>
      </w:r>
      <w:r>
        <w:t xml:space="preserve"> sift through millions of hits</w:t>
      </w:r>
      <w:r w:rsidR="009902DA">
        <w:t>, we</w:t>
      </w:r>
      <w:r>
        <w:t xml:space="preserve"> deliver concise and actionable reports that pinpoint the results that matter most.</w:t>
      </w:r>
    </w:p>
    <w:p w14:paraId="572C2F7D" w14:textId="6B07D670" w:rsidR="00E91DE5" w:rsidRDefault="00E91DE5" w:rsidP="00E91DE5">
      <w:pPr>
        <w:pStyle w:val="BodyText"/>
      </w:pPr>
      <w:r>
        <w:t>So, you can make confidence decisions and act quickly to protect your brand.</w:t>
      </w:r>
    </w:p>
    <w:p w14:paraId="5526BE47" w14:textId="77777777" w:rsidR="00E91DE5" w:rsidRDefault="00E91DE5" w:rsidP="00E91DE5">
      <w:pPr>
        <w:pStyle w:val="BodyText"/>
      </w:pPr>
    </w:p>
    <w:p w14:paraId="4A5E8AE6" w14:textId="77777777" w:rsidR="00E91DE5" w:rsidRPr="00782D0D" w:rsidRDefault="00E91DE5" w:rsidP="00E91DE5">
      <w:pPr>
        <w:pStyle w:val="BodyText"/>
        <w:rPr>
          <w:b/>
          <w:sz w:val="22"/>
        </w:rPr>
      </w:pPr>
      <w:r w:rsidRPr="00782D0D">
        <w:rPr>
          <w:b/>
          <w:sz w:val="22"/>
        </w:rPr>
        <w:t>Watch on SERION®</w:t>
      </w:r>
    </w:p>
    <w:p w14:paraId="2A2DB50F" w14:textId="088BFE2C" w:rsidR="00C678D1" w:rsidRPr="00E91DE5" w:rsidRDefault="00E91DE5" w:rsidP="00E91DE5">
      <w:pPr>
        <w:pStyle w:val="BodyText"/>
      </w:pPr>
      <w:r>
        <w:t xml:space="preserve">Enjoy the convenience of managing all your watching activities via </w:t>
      </w:r>
      <w:r w:rsidR="00D45028">
        <w:t xml:space="preserve">CompuMark’s </w:t>
      </w:r>
      <w:r>
        <w:t>SERION online trademark environment. Manage your trademark watch portfolio, review watch notices, create and share reports and collaborate across offices.</w:t>
      </w:r>
    </w:p>
    <w:p w14:paraId="52869CCE" w14:textId="77777777" w:rsidR="00E0244A" w:rsidRPr="00EA3B8F" w:rsidRDefault="00E0244A" w:rsidP="000119E0">
      <w:pPr>
        <w:pStyle w:val="BodyText"/>
      </w:pPr>
    </w:p>
    <w:p w14:paraId="6CC92069" w14:textId="77777777" w:rsidR="000119E0" w:rsidRPr="00B2576B" w:rsidRDefault="000119E0" w:rsidP="000119E0">
      <w:pPr>
        <w:pStyle w:val="Heading2"/>
      </w:pPr>
      <w:r w:rsidRPr="00B2576B">
        <w:t xml:space="preserve">Contact </w:t>
      </w:r>
      <w:r>
        <w:t>i</w:t>
      </w:r>
      <w:r w:rsidRPr="00B2576B">
        <w:t xml:space="preserve">nformation </w:t>
      </w:r>
    </w:p>
    <w:p w14:paraId="7AED4A96" w14:textId="77777777" w:rsidR="000119E0" w:rsidRDefault="000119E0" w:rsidP="000119E0">
      <w:pPr>
        <w:pStyle w:val="BodyText"/>
        <w:sectPr w:rsidR="000119E0" w:rsidSect="002227AE">
          <w:footerReference w:type="first" r:id="rId13"/>
          <w:pgSz w:w="12240" w:h="15840" w:code="1"/>
          <w:pgMar w:top="1440" w:right="1440" w:bottom="1440" w:left="1440" w:header="288" w:footer="792" w:gutter="0"/>
          <w:cols w:space="144"/>
          <w:titlePg/>
          <w:docGrid w:linePitch="360"/>
        </w:sectPr>
      </w:pPr>
    </w:p>
    <w:p w14:paraId="7C5352CD" w14:textId="77777777" w:rsidR="000119E0" w:rsidRPr="000119E0" w:rsidRDefault="000119E0" w:rsidP="000119E0">
      <w:pPr>
        <w:pStyle w:val="BodyText"/>
      </w:pPr>
      <w:r w:rsidRPr="00B2576B">
        <w:t xml:space="preserve">To request an International Business Name Watch, please </w:t>
      </w:r>
      <w:r>
        <w:t xml:space="preserve">contact </w:t>
      </w:r>
      <w:r w:rsidRPr="000119E0">
        <w:rPr>
          <w:color w:val="FF0000"/>
        </w:rPr>
        <w:t xml:space="preserve">[Insert Law Firm Name] </w:t>
      </w:r>
      <w:r w:rsidRPr="00B2576B">
        <w:t>today.</w:t>
      </w:r>
    </w:p>
    <w:p w14:paraId="239C7B7C" w14:textId="77777777" w:rsidR="000119E0" w:rsidRPr="00741A8F" w:rsidRDefault="000119E0" w:rsidP="000119E0">
      <w:pPr>
        <w:pStyle w:val="BodyText"/>
        <w:spacing w:after="0"/>
        <w:rPr>
          <w:sz w:val="18"/>
        </w:rPr>
      </w:pPr>
    </w:p>
    <w:p w14:paraId="453A0502" w14:textId="77777777" w:rsidR="000119E0" w:rsidRPr="00741A8F" w:rsidRDefault="00D61D4D" w:rsidP="000119E0">
      <w:pPr>
        <w:pStyle w:val="BodyText"/>
        <w:spacing w:after="0"/>
        <w:rPr>
          <w:sz w:val="18"/>
        </w:rPr>
      </w:pPr>
      <w:hyperlink r:id="rId14" w:history="1">
        <w:r w:rsidR="000119E0" w:rsidRPr="00741A8F">
          <w:rPr>
            <w:rStyle w:val="Hyperlink"/>
            <w:sz w:val="18"/>
          </w:rPr>
          <w:t>compumark.com</w:t>
        </w:r>
      </w:hyperlink>
    </w:p>
    <w:p w14:paraId="5DDF0A12" w14:textId="77777777" w:rsidR="000119E0" w:rsidRDefault="00D61D4D" w:rsidP="000119E0">
      <w:pPr>
        <w:pStyle w:val="BodyText"/>
        <w:spacing w:after="0"/>
        <w:sectPr w:rsidR="000119E0" w:rsidSect="000119E0">
          <w:type w:val="continuous"/>
          <w:pgSz w:w="12240" w:h="15840" w:code="1"/>
          <w:pgMar w:top="1440" w:right="1440" w:bottom="1440" w:left="1440" w:header="288" w:footer="792" w:gutter="0"/>
          <w:cols w:space="144"/>
          <w:titlePg/>
          <w:docGrid w:linePitch="360"/>
        </w:sectPr>
      </w:pPr>
      <w:hyperlink r:id="rId15" w:history="1">
        <w:r w:rsidR="000119E0" w:rsidRPr="00741A8F">
          <w:rPr>
            <w:rStyle w:val="Hyperlink"/>
            <w:sz w:val="18"/>
          </w:rPr>
          <w:t>clarivate.com</w:t>
        </w:r>
      </w:hyperlink>
    </w:p>
    <w:p w14:paraId="50924767" w14:textId="77777777" w:rsidR="000119E0" w:rsidRDefault="000119E0" w:rsidP="000119E0">
      <w:pPr>
        <w:pStyle w:val="BodyText"/>
      </w:pPr>
    </w:p>
    <w:p w14:paraId="16CA25B8" w14:textId="77777777" w:rsidR="000119E0" w:rsidRDefault="000119E0" w:rsidP="000119E0">
      <w:pPr>
        <w:sectPr w:rsidR="000119E0" w:rsidSect="000119E0">
          <w:type w:val="continuous"/>
          <w:pgSz w:w="12240" w:h="15840" w:code="1"/>
          <w:pgMar w:top="1440" w:right="1440" w:bottom="1440" w:left="1440" w:header="288" w:footer="792" w:gutter="0"/>
          <w:cols w:space="708"/>
          <w:titlePg/>
          <w:docGrid w:linePitch="360"/>
        </w:sectPr>
      </w:pPr>
    </w:p>
    <w:p w14:paraId="6415BB83" w14:textId="77777777" w:rsidR="000119E0" w:rsidRDefault="000119E0" w:rsidP="000119E0">
      <w:pPr>
        <w:sectPr w:rsidR="000119E0" w:rsidSect="000119E0">
          <w:type w:val="continuous"/>
          <w:pgSz w:w="12240" w:h="15840" w:code="1"/>
          <w:pgMar w:top="1440" w:right="1440" w:bottom="1440" w:left="1440" w:header="288" w:footer="792" w:gutter="0"/>
          <w:cols w:space="708"/>
          <w:titlePg/>
          <w:docGrid w:linePitch="360"/>
        </w:sectPr>
      </w:pPr>
    </w:p>
    <w:p w14:paraId="30C78F38" w14:textId="77777777" w:rsidR="000119E0" w:rsidRDefault="000119E0" w:rsidP="000119E0">
      <w:pPr>
        <w:tabs>
          <w:tab w:val="left" w:pos="1325"/>
          <w:tab w:val="left" w:pos="2016"/>
        </w:tabs>
      </w:pPr>
      <w:r>
        <w:tab/>
      </w:r>
    </w:p>
    <w:p w14:paraId="72CE3022" w14:textId="77777777" w:rsidR="000119E0" w:rsidRPr="001668F4" w:rsidRDefault="000119E0" w:rsidP="000119E0"/>
    <w:p w14:paraId="6B196B8E" w14:textId="77777777" w:rsidR="000119E0" w:rsidRPr="001668F4" w:rsidRDefault="000119E0" w:rsidP="000119E0"/>
    <w:p w14:paraId="4940134F" w14:textId="77777777" w:rsidR="000119E0" w:rsidRPr="001668F4" w:rsidRDefault="000119E0" w:rsidP="000119E0"/>
    <w:p w14:paraId="3A3186C1" w14:textId="77777777" w:rsidR="000119E0" w:rsidRPr="001668F4" w:rsidRDefault="000119E0" w:rsidP="000119E0">
      <w:pPr>
        <w:tabs>
          <w:tab w:val="left" w:pos="1515"/>
        </w:tabs>
      </w:pPr>
      <w:r>
        <w:tab/>
      </w:r>
    </w:p>
    <w:p w14:paraId="190B77C7" w14:textId="77777777" w:rsidR="006D4AB6" w:rsidRDefault="00D61D4D"/>
    <w:sectPr w:rsidR="006D4AB6" w:rsidSect="000119E0">
      <w:type w:val="continuous"/>
      <w:pgSz w:w="12240" w:h="15840" w:code="1"/>
      <w:pgMar w:top="1440" w:right="1440" w:bottom="1440" w:left="1440" w:header="28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F9F0" w14:textId="77777777" w:rsidR="00D61D4D" w:rsidRDefault="00D61D4D" w:rsidP="000119E0">
      <w:pPr>
        <w:spacing w:after="0" w:line="240" w:lineRule="auto"/>
      </w:pPr>
      <w:r>
        <w:separator/>
      </w:r>
    </w:p>
  </w:endnote>
  <w:endnote w:type="continuationSeparator" w:id="0">
    <w:p w14:paraId="3BB6FD6A" w14:textId="77777777" w:rsidR="00D61D4D" w:rsidRDefault="00D61D4D" w:rsidP="0001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0139" w14:textId="77777777" w:rsidR="0078263F" w:rsidRPr="00160CC1" w:rsidRDefault="001E5A96" w:rsidP="007828C6">
    <w:pPr>
      <w:pStyle w:val="Footer"/>
      <w:rPr>
        <w:szCs w:val="20"/>
        <w:lang w:val="en-AU"/>
      </w:rPr>
    </w:pPr>
    <w:r w:rsidRPr="003B1B9C">
      <w:rPr>
        <w:lang w:val="en-AU"/>
      </w:rPr>
      <w:fldChar w:fldCharType="begin"/>
    </w:r>
    <w:r w:rsidRPr="003B1B9C">
      <w:rPr>
        <w:lang w:val="en-AU"/>
      </w:rPr>
      <w:instrText xml:space="preserve"> PAGE   \* MERGEFORMAT </w:instrText>
    </w:r>
    <w:r w:rsidRPr="003B1B9C">
      <w:rPr>
        <w:lang w:val="en-AU"/>
      </w:rPr>
      <w:fldChar w:fldCharType="separate"/>
    </w:r>
    <w:r>
      <w:rPr>
        <w:noProof/>
        <w:lang w:val="en-AU"/>
      </w:rPr>
      <w:t>5</w:t>
    </w:r>
    <w:r w:rsidRPr="003B1B9C">
      <w:rPr>
        <w:noProof/>
        <w:lang w:val="en-AU"/>
      </w:rPr>
      <w:fldChar w:fldCharType="end"/>
    </w:r>
    <w:r>
      <w:rPr>
        <w:noProof/>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50D4" w14:textId="77777777" w:rsidR="00A4343D" w:rsidRPr="00A4343D" w:rsidRDefault="00A4343D" w:rsidP="00A4343D">
    <w:pPr>
      <w:pStyle w:val="Footer"/>
      <w:ind w:left="0"/>
      <w:rPr>
        <w:noProof/>
        <w:sz w:val="16"/>
        <w:szCs w:val="20"/>
        <w:lang w:val="en-AU"/>
      </w:rPr>
    </w:pPr>
    <w:r w:rsidRPr="00A4343D">
      <w:rPr>
        <w:noProof/>
        <w:sz w:val="16"/>
        <w:szCs w:val="20"/>
        <w:lang w:val="en-AU"/>
      </w:rPr>
      <w:t xml:space="preserve">© 2019 Clarivate Analytics. </w:t>
    </w:r>
    <w:r w:rsidRPr="000119E0">
      <w:rPr>
        <w:noProof/>
        <w:sz w:val="16"/>
        <w:szCs w:val="20"/>
        <w:lang w:val="en-AU"/>
      </w:rPr>
      <w:t>CompuMark is a trademark of its respective owner and used herein with permission.</w:t>
    </w:r>
    <w:r>
      <w:rPr>
        <w:noProof/>
        <w:sz w:val="16"/>
        <w:szCs w:val="20"/>
        <w:lang w:val="en-AU"/>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0B4E" w14:textId="77777777" w:rsidR="002227AE" w:rsidRPr="00A4343D" w:rsidRDefault="002227AE" w:rsidP="00A4343D">
    <w:pPr>
      <w:pStyle w:val="Footer"/>
      <w:ind w:left="0"/>
      <w:rPr>
        <w:noProof/>
        <w:sz w:val="16"/>
        <w:szCs w:val="20"/>
        <w:lang w:val="en-AU"/>
      </w:rPr>
    </w:pPr>
    <w:r w:rsidRPr="00A4343D">
      <w:rPr>
        <w:noProof/>
        <w:sz w:val="16"/>
        <w:szCs w:val="20"/>
        <w:lang w:val="en-AU"/>
      </w:rPr>
      <w:t xml:space="preserve">© 2019 Clarivate Analytics. </w:t>
    </w:r>
    <w:r w:rsidRPr="000119E0">
      <w:rPr>
        <w:noProof/>
        <w:sz w:val="16"/>
        <w:szCs w:val="20"/>
        <w:lang w:val="en-AU"/>
      </w:rPr>
      <w:t>CompuMark is a trademark of its respective owner and used herein with permission.</w:t>
    </w:r>
    <w:r>
      <w:rPr>
        <w:noProof/>
        <w:sz w:val="16"/>
        <w:szCs w:val="20"/>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169EC" w14:textId="77777777" w:rsidR="00D61D4D" w:rsidRDefault="00D61D4D" w:rsidP="000119E0">
      <w:pPr>
        <w:spacing w:after="0" w:line="240" w:lineRule="auto"/>
      </w:pPr>
      <w:r>
        <w:separator/>
      </w:r>
    </w:p>
  </w:footnote>
  <w:footnote w:type="continuationSeparator" w:id="0">
    <w:p w14:paraId="65F574B8" w14:textId="77777777" w:rsidR="00D61D4D" w:rsidRDefault="00D61D4D" w:rsidP="00011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2E6F"/>
    <w:multiLevelType w:val="multilevel"/>
    <w:tmpl w:val="55DC2BC4"/>
    <w:styleLink w:val="ListBullets"/>
    <w:lvl w:ilvl="0">
      <w:start w:val="1"/>
      <w:numFmt w:val="bullet"/>
      <w:pStyle w:val="ListBullet"/>
      <w:lvlText w:val="•"/>
      <w:lvlJc w:val="left"/>
      <w:pPr>
        <w:tabs>
          <w:tab w:val="num" w:pos="284"/>
        </w:tabs>
        <w:ind w:left="284" w:hanging="284"/>
      </w:pPr>
      <w:rPr>
        <w:rFonts w:ascii="Calibri" w:hAnsi="Calibri" w:hint="default"/>
      </w:rPr>
    </w:lvl>
    <w:lvl w:ilvl="1">
      <w:start w:val="1"/>
      <w:numFmt w:val="bullet"/>
      <w:lvlText w:val="–"/>
      <w:lvlJc w:val="left"/>
      <w:pPr>
        <w:tabs>
          <w:tab w:val="num" w:pos="567"/>
        </w:tabs>
        <w:ind w:left="567" w:hanging="283"/>
      </w:pPr>
      <w:rPr>
        <w:rFonts w:ascii="Calibri" w:hAnsi="Calibri" w:hint="default"/>
      </w:rPr>
    </w:lvl>
    <w:lvl w:ilvl="2">
      <w:start w:val="1"/>
      <w:numFmt w:val="bullet"/>
      <w:lvlText w:val="•"/>
      <w:lvlJc w:val="left"/>
      <w:pPr>
        <w:tabs>
          <w:tab w:val="num" w:pos="851"/>
        </w:tabs>
        <w:ind w:left="851" w:hanging="284"/>
      </w:pPr>
      <w:rPr>
        <w:rFonts w:ascii="Calibri" w:hAnsi="Calibri"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none"/>
      <w:lvlText w:val=""/>
      <w:lvlJc w:val="left"/>
      <w:pPr>
        <w:tabs>
          <w:tab w:val="num" w:pos="851"/>
        </w:tabs>
        <w:ind w:left="851" w:hanging="284"/>
      </w:pPr>
      <w:rPr>
        <w:rFonts w:hint="default"/>
      </w:rPr>
    </w:lvl>
    <w:lvl w:ilvl="6">
      <w:start w:val="1"/>
      <w:numFmt w:val="none"/>
      <w:lvlText w:val=""/>
      <w:lvlJc w:val="left"/>
      <w:pPr>
        <w:tabs>
          <w:tab w:val="num" w:pos="851"/>
        </w:tabs>
        <w:ind w:left="851" w:hanging="284"/>
      </w:pPr>
      <w:rPr>
        <w:rFonts w:hint="default"/>
      </w:rPr>
    </w:lvl>
    <w:lvl w:ilvl="7">
      <w:start w:val="1"/>
      <w:numFmt w:val="none"/>
      <w:lvlText w:val=""/>
      <w:lvlJc w:val="left"/>
      <w:pPr>
        <w:tabs>
          <w:tab w:val="num" w:pos="851"/>
        </w:tabs>
        <w:ind w:left="851" w:hanging="284"/>
      </w:pPr>
      <w:rPr>
        <w:rFonts w:hint="default"/>
      </w:rPr>
    </w:lvl>
    <w:lvl w:ilvl="8">
      <w:start w:val="1"/>
      <w:numFmt w:val="none"/>
      <w:lvlText w:val=""/>
      <w:lvlJc w:val="left"/>
      <w:pPr>
        <w:tabs>
          <w:tab w:val="num" w:pos="851"/>
        </w:tabs>
        <w:ind w:left="851" w:hanging="284"/>
      </w:pPr>
      <w:rPr>
        <w:rFonts w:hint="default"/>
      </w:rPr>
    </w:lvl>
  </w:abstractNum>
  <w:abstractNum w:abstractNumId="1" w15:restartNumberingAfterBreak="0">
    <w:nsid w:val="34A27A95"/>
    <w:multiLevelType w:val="hybridMultilevel"/>
    <w:tmpl w:val="0BE4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42653"/>
    <w:multiLevelType w:val="multilevel"/>
    <w:tmpl w:val="55DC2BC4"/>
    <w:numStyleLink w:val="ListBullets"/>
  </w:abstractNum>
  <w:abstractNum w:abstractNumId="3" w15:restartNumberingAfterBreak="0">
    <w:nsid w:val="39616E88"/>
    <w:multiLevelType w:val="hybridMultilevel"/>
    <w:tmpl w:val="35A4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087BBF"/>
    <w:multiLevelType w:val="hybridMultilevel"/>
    <w:tmpl w:val="3054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60A79"/>
    <w:multiLevelType w:val="hybridMultilevel"/>
    <w:tmpl w:val="0F22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0"/>
    <w:rsid w:val="000119E0"/>
    <w:rsid w:val="00083D96"/>
    <w:rsid w:val="00145CE6"/>
    <w:rsid w:val="001E5A96"/>
    <w:rsid w:val="002227AE"/>
    <w:rsid w:val="00315711"/>
    <w:rsid w:val="00393F8F"/>
    <w:rsid w:val="00495240"/>
    <w:rsid w:val="004E550B"/>
    <w:rsid w:val="006A4888"/>
    <w:rsid w:val="006C723D"/>
    <w:rsid w:val="00706C3F"/>
    <w:rsid w:val="00782D0D"/>
    <w:rsid w:val="007D6D19"/>
    <w:rsid w:val="0091504B"/>
    <w:rsid w:val="00954D74"/>
    <w:rsid w:val="009902DA"/>
    <w:rsid w:val="009B60F8"/>
    <w:rsid w:val="00A4343D"/>
    <w:rsid w:val="00A67965"/>
    <w:rsid w:val="00B51CFC"/>
    <w:rsid w:val="00BE1E00"/>
    <w:rsid w:val="00C678D1"/>
    <w:rsid w:val="00D027BF"/>
    <w:rsid w:val="00D45028"/>
    <w:rsid w:val="00D61D4D"/>
    <w:rsid w:val="00DB7CD7"/>
    <w:rsid w:val="00E0244A"/>
    <w:rsid w:val="00E91DE5"/>
    <w:rsid w:val="00F3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B688A"/>
  <w15:chartTrackingRefBased/>
  <w15:docId w15:val="{B98384E9-DAC0-4800-8C20-5ECC5138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E0"/>
    <w:pPr>
      <w:spacing w:after="120"/>
    </w:pPr>
    <w:rPr>
      <w:sz w:val="20"/>
    </w:rPr>
  </w:style>
  <w:style w:type="paragraph" w:styleId="Heading1">
    <w:name w:val="heading 1"/>
    <w:basedOn w:val="Normal"/>
    <w:next w:val="Normal"/>
    <w:link w:val="Heading1Char"/>
    <w:uiPriority w:val="9"/>
    <w:qFormat/>
    <w:rsid w:val="006C72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qFormat/>
    <w:rsid w:val="000119E0"/>
    <w:pPr>
      <w:keepNext/>
      <w:keepLines/>
      <w:spacing w:line="216" w:lineRule="auto"/>
      <w:outlineLvl w:val="1"/>
    </w:pPr>
    <w:rPr>
      <w:rFonts w:asciiTheme="majorHAnsi" w:eastAsiaTheme="majorEastAsia" w:hAnsiTheme="majorHAnsi" w:cstheme="majorBidi"/>
      <w:b/>
      <w:bCs/>
      <w:color w:val="000000" w:themeColor="text1"/>
      <w:sz w:val="24"/>
      <w:szCs w:val="26"/>
      <w:lang w:val="en-GB"/>
    </w:rPr>
  </w:style>
  <w:style w:type="paragraph" w:styleId="Heading3">
    <w:name w:val="heading 3"/>
    <w:basedOn w:val="Normal"/>
    <w:next w:val="BodyText"/>
    <w:link w:val="Heading3Char"/>
    <w:uiPriority w:val="9"/>
    <w:qFormat/>
    <w:rsid w:val="000119E0"/>
    <w:pPr>
      <w:keepNext/>
      <w:keepLines/>
      <w:spacing w:line="216" w:lineRule="auto"/>
      <w:outlineLvl w:val="2"/>
    </w:pPr>
    <w:rPr>
      <w:rFonts w:asciiTheme="majorHAnsi" w:eastAsiaTheme="majorEastAsia" w:hAnsiTheme="majorHAnsi" w:cstheme="majorBidi"/>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9E0"/>
    <w:rPr>
      <w:rFonts w:asciiTheme="majorHAnsi" w:eastAsiaTheme="majorEastAsia" w:hAnsiTheme="majorHAnsi" w:cstheme="majorBidi"/>
      <w:b/>
      <w:bCs/>
      <w:color w:val="000000" w:themeColor="text1"/>
      <w:sz w:val="24"/>
      <w:szCs w:val="26"/>
      <w:lang w:val="en-GB"/>
    </w:rPr>
  </w:style>
  <w:style w:type="character" w:customStyle="1" w:styleId="Heading3Char">
    <w:name w:val="Heading 3 Char"/>
    <w:basedOn w:val="DefaultParagraphFont"/>
    <w:link w:val="Heading3"/>
    <w:uiPriority w:val="9"/>
    <w:rsid w:val="000119E0"/>
    <w:rPr>
      <w:rFonts w:asciiTheme="majorHAnsi" w:eastAsiaTheme="majorEastAsia" w:hAnsiTheme="majorHAnsi" w:cstheme="majorBidi"/>
      <w:b/>
      <w:bCs/>
      <w:color w:val="000000" w:themeColor="text1"/>
      <w:sz w:val="20"/>
      <w:lang w:val="en-GB"/>
    </w:rPr>
  </w:style>
  <w:style w:type="paragraph" w:styleId="BodyText">
    <w:name w:val="Body Text"/>
    <w:basedOn w:val="Normal"/>
    <w:link w:val="BodyTextChar"/>
    <w:uiPriority w:val="14"/>
    <w:qFormat/>
    <w:rsid w:val="000119E0"/>
    <w:pPr>
      <w:spacing w:line="240" w:lineRule="auto"/>
    </w:pPr>
    <w:rPr>
      <w:color w:val="000000" w:themeColor="text1"/>
      <w:lang w:val="en-GB"/>
    </w:rPr>
  </w:style>
  <w:style w:type="character" w:customStyle="1" w:styleId="BodyTextChar">
    <w:name w:val="Body Text Char"/>
    <w:basedOn w:val="DefaultParagraphFont"/>
    <w:link w:val="BodyText"/>
    <w:uiPriority w:val="14"/>
    <w:rsid w:val="000119E0"/>
    <w:rPr>
      <w:color w:val="000000" w:themeColor="text1"/>
      <w:sz w:val="20"/>
      <w:lang w:val="en-GB"/>
    </w:rPr>
  </w:style>
  <w:style w:type="paragraph" w:styleId="Title">
    <w:name w:val="Title"/>
    <w:basedOn w:val="Normal"/>
    <w:next w:val="Subtitle"/>
    <w:link w:val="TitleChar"/>
    <w:uiPriority w:val="30"/>
    <w:qFormat/>
    <w:rsid w:val="000119E0"/>
    <w:pPr>
      <w:keepNext/>
      <w:keepLines/>
      <w:spacing w:after="440" w:line="192" w:lineRule="auto"/>
      <w:contextualSpacing/>
    </w:pPr>
    <w:rPr>
      <w:rFonts w:asciiTheme="majorHAnsi" w:eastAsiaTheme="majorEastAsia" w:hAnsiTheme="majorHAnsi" w:cstheme="majorBidi"/>
      <w:b/>
      <w:color w:val="000000" w:themeColor="text1"/>
      <w:sz w:val="80"/>
      <w:szCs w:val="52"/>
      <w:lang w:val="en-GB"/>
    </w:rPr>
  </w:style>
  <w:style w:type="character" w:customStyle="1" w:styleId="TitleChar">
    <w:name w:val="Title Char"/>
    <w:basedOn w:val="DefaultParagraphFont"/>
    <w:link w:val="Title"/>
    <w:uiPriority w:val="30"/>
    <w:rsid w:val="000119E0"/>
    <w:rPr>
      <w:rFonts w:asciiTheme="majorHAnsi" w:eastAsiaTheme="majorEastAsia" w:hAnsiTheme="majorHAnsi" w:cstheme="majorBidi"/>
      <w:b/>
      <w:color w:val="000000" w:themeColor="text1"/>
      <w:sz w:val="80"/>
      <w:szCs w:val="52"/>
      <w:lang w:val="en-GB"/>
    </w:rPr>
  </w:style>
  <w:style w:type="paragraph" w:styleId="Subtitle">
    <w:name w:val="Subtitle"/>
    <w:basedOn w:val="Normal"/>
    <w:next w:val="BodyText"/>
    <w:link w:val="SubtitleChar"/>
    <w:uiPriority w:val="31"/>
    <w:qFormat/>
    <w:rsid w:val="000119E0"/>
    <w:pPr>
      <w:keepNext/>
      <w:keepLines/>
      <w:numPr>
        <w:ilvl w:val="1"/>
      </w:numPr>
      <w:spacing w:after="160" w:line="216" w:lineRule="auto"/>
    </w:pPr>
    <w:rPr>
      <w:rFonts w:asciiTheme="majorHAnsi" w:eastAsiaTheme="majorEastAsia" w:hAnsiTheme="majorHAnsi" w:cstheme="majorBidi"/>
      <w:b/>
      <w:iCs/>
      <w:color w:val="000000" w:themeColor="text1"/>
      <w:sz w:val="40"/>
      <w:szCs w:val="24"/>
      <w:lang w:val="en-GB"/>
    </w:rPr>
  </w:style>
  <w:style w:type="character" w:customStyle="1" w:styleId="SubtitleChar">
    <w:name w:val="Subtitle Char"/>
    <w:basedOn w:val="DefaultParagraphFont"/>
    <w:link w:val="Subtitle"/>
    <w:uiPriority w:val="31"/>
    <w:rsid w:val="000119E0"/>
    <w:rPr>
      <w:rFonts w:asciiTheme="majorHAnsi" w:eastAsiaTheme="majorEastAsia" w:hAnsiTheme="majorHAnsi" w:cstheme="majorBidi"/>
      <w:b/>
      <w:iCs/>
      <w:color w:val="000000" w:themeColor="text1"/>
      <w:sz w:val="40"/>
      <w:szCs w:val="24"/>
      <w:lang w:val="en-GB"/>
    </w:rPr>
  </w:style>
  <w:style w:type="numbering" w:customStyle="1" w:styleId="ListBullets">
    <w:name w:val="__List Bullets"/>
    <w:uiPriority w:val="99"/>
    <w:rsid w:val="000119E0"/>
    <w:pPr>
      <w:numPr>
        <w:numId w:val="1"/>
      </w:numPr>
    </w:pPr>
  </w:style>
  <w:style w:type="table" w:styleId="TableGrid">
    <w:name w:val="Table Grid"/>
    <w:basedOn w:val="TableNormal"/>
    <w:uiPriority w:val="39"/>
    <w:unhideWhenUsed/>
    <w:rsid w:val="000119E0"/>
    <w:pPr>
      <w:spacing w:after="0" w:line="240" w:lineRule="auto"/>
    </w:pPr>
    <w:rPr>
      <w:lang w:val="en-GB"/>
    </w:rPr>
    <w:tblPr>
      <w:tblCellMar>
        <w:left w:w="0" w:type="dxa"/>
        <w:right w:w="0" w:type="dxa"/>
      </w:tblCellMar>
    </w:tblPr>
  </w:style>
  <w:style w:type="paragraph" w:styleId="ListBullet">
    <w:name w:val="List Bullet"/>
    <w:basedOn w:val="BodyText"/>
    <w:uiPriority w:val="15"/>
    <w:qFormat/>
    <w:rsid w:val="000119E0"/>
    <w:pPr>
      <w:numPr>
        <w:numId w:val="2"/>
      </w:numPr>
      <w:contextualSpacing/>
    </w:pPr>
  </w:style>
  <w:style w:type="table" w:customStyle="1" w:styleId="CompuMarkTable">
    <w:name w:val="__CompuMark Table"/>
    <w:basedOn w:val="TableNormal"/>
    <w:uiPriority w:val="99"/>
    <w:rsid w:val="000119E0"/>
    <w:pPr>
      <w:spacing w:after="0" w:line="240" w:lineRule="auto"/>
    </w:pPr>
    <w:rPr>
      <w:sz w:val="20"/>
      <w:lang w:val="en-GB"/>
    </w:rPr>
    <w:tblPr>
      <w:tblBorders>
        <w:insideH w:val="single" w:sz="4" w:space="0" w:color="000000" w:themeColor="text1"/>
      </w:tblBorders>
      <w:tblCellMar>
        <w:top w:w="142" w:type="dxa"/>
        <w:left w:w="0" w:type="dxa"/>
        <w:bottom w:w="142" w:type="dxa"/>
        <w:right w:w="113" w:type="dxa"/>
      </w:tblCellMar>
    </w:tblPr>
    <w:tblStylePr w:type="firstRow">
      <w:tblPr/>
      <w:tcPr>
        <w:tcBorders>
          <w:top w:val="single" w:sz="4" w:space="0" w:color="44546A" w:themeColor="text2"/>
          <w:left w:val="nil"/>
          <w:bottom w:val="nil"/>
          <w:right w:val="nil"/>
          <w:insideH w:val="nil"/>
          <w:insideV w:val="nil"/>
          <w:tl2br w:val="nil"/>
          <w:tr2bl w:val="nil"/>
        </w:tcBorders>
      </w:tcPr>
    </w:tblStylePr>
  </w:style>
  <w:style w:type="paragraph" w:customStyle="1" w:styleId="TableTitle">
    <w:name w:val="Table Title"/>
    <w:basedOn w:val="Normal"/>
    <w:uiPriority w:val="18"/>
    <w:qFormat/>
    <w:rsid w:val="000119E0"/>
    <w:pPr>
      <w:pBdr>
        <w:top w:val="single" w:sz="4" w:space="6" w:color="44546A" w:themeColor="text2"/>
      </w:pBdr>
      <w:spacing w:line="240" w:lineRule="auto"/>
    </w:pPr>
    <w:rPr>
      <w:color w:val="000000" w:themeColor="text1"/>
      <w:lang w:val="en-GB"/>
    </w:rPr>
  </w:style>
  <w:style w:type="paragraph" w:customStyle="1" w:styleId="CoverHeading">
    <w:name w:val="Cover Heading"/>
    <w:basedOn w:val="Normal"/>
    <w:uiPriority w:val="33"/>
    <w:qFormat/>
    <w:rsid w:val="000119E0"/>
    <w:pPr>
      <w:keepNext/>
      <w:keepLines/>
      <w:spacing w:after="300" w:line="216" w:lineRule="auto"/>
    </w:pPr>
    <w:rPr>
      <w:rFonts w:asciiTheme="majorHAnsi" w:hAnsiTheme="majorHAnsi"/>
      <w:b/>
      <w:color w:val="000000" w:themeColor="text1"/>
      <w:lang w:val="en-GB"/>
    </w:rPr>
  </w:style>
  <w:style w:type="paragraph" w:styleId="Header">
    <w:name w:val="header"/>
    <w:basedOn w:val="Normal"/>
    <w:link w:val="HeaderChar"/>
    <w:uiPriority w:val="99"/>
    <w:semiHidden/>
    <w:rsid w:val="000119E0"/>
    <w:pPr>
      <w:spacing w:after="0" w:line="240" w:lineRule="auto"/>
    </w:pPr>
  </w:style>
  <w:style w:type="character" w:customStyle="1" w:styleId="HeaderChar">
    <w:name w:val="Header Char"/>
    <w:basedOn w:val="DefaultParagraphFont"/>
    <w:link w:val="Header"/>
    <w:uiPriority w:val="99"/>
    <w:semiHidden/>
    <w:rsid w:val="000119E0"/>
    <w:rPr>
      <w:sz w:val="20"/>
    </w:rPr>
  </w:style>
  <w:style w:type="paragraph" w:styleId="Footer">
    <w:name w:val="footer"/>
    <w:basedOn w:val="Normal"/>
    <w:link w:val="FooterChar"/>
    <w:uiPriority w:val="99"/>
    <w:rsid w:val="000119E0"/>
    <w:pPr>
      <w:tabs>
        <w:tab w:val="left" w:pos="0"/>
      </w:tabs>
      <w:spacing w:after="0" w:line="240" w:lineRule="auto"/>
      <w:ind w:left="-2381"/>
    </w:pPr>
  </w:style>
  <w:style w:type="character" w:customStyle="1" w:styleId="FooterChar">
    <w:name w:val="Footer Char"/>
    <w:basedOn w:val="DefaultParagraphFont"/>
    <w:link w:val="Footer"/>
    <w:uiPriority w:val="99"/>
    <w:rsid w:val="000119E0"/>
    <w:rPr>
      <w:sz w:val="20"/>
    </w:rPr>
  </w:style>
  <w:style w:type="character" w:styleId="Hyperlink">
    <w:name w:val="Hyperlink"/>
    <w:basedOn w:val="DefaultParagraphFont"/>
    <w:uiPriority w:val="99"/>
    <w:unhideWhenUsed/>
    <w:rsid w:val="000119E0"/>
    <w:rPr>
      <w:b/>
      <w:color w:val="000000" w:themeColor="text1"/>
      <w:u w:val="single"/>
    </w:rPr>
  </w:style>
  <w:style w:type="paragraph" w:customStyle="1" w:styleId="Default">
    <w:name w:val="Default"/>
    <w:rsid w:val="000119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E0"/>
    <w:rPr>
      <w:rFonts w:ascii="Segoe UI" w:hAnsi="Segoe UI" w:cs="Segoe UI"/>
      <w:sz w:val="18"/>
      <w:szCs w:val="18"/>
    </w:rPr>
  </w:style>
  <w:style w:type="paragraph" w:styleId="ListParagraph">
    <w:name w:val="List Paragraph"/>
    <w:basedOn w:val="Normal"/>
    <w:uiPriority w:val="34"/>
    <w:qFormat/>
    <w:rsid w:val="000119E0"/>
    <w:pPr>
      <w:spacing w:after="0" w:line="240" w:lineRule="auto"/>
      <w:ind w:left="720"/>
    </w:pPr>
    <w:rPr>
      <w:rFonts w:ascii="Calibri" w:hAnsi="Calibri" w:cs="Calibri"/>
      <w:sz w:val="22"/>
    </w:rPr>
  </w:style>
  <w:style w:type="character" w:customStyle="1" w:styleId="Heading1Char">
    <w:name w:val="Heading 1 Char"/>
    <w:basedOn w:val="DefaultParagraphFont"/>
    <w:link w:val="Heading1"/>
    <w:uiPriority w:val="9"/>
    <w:rsid w:val="006C72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clarivate.com/"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pu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C52EC3754314E903F701FEDB9E77B" ma:contentTypeVersion="13" ma:contentTypeDescription="Create a new document." ma:contentTypeScope="" ma:versionID="5cdd50223c20b82d287e103cd535381c">
  <xsd:schema xmlns:xsd="http://www.w3.org/2001/XMLSchema" xmlns:xs="http://www.w3.org/2001/XMLSchema" xmlns:p="http://schemas.microsoft.com/office/2006/metadata/properties" xmlns:ns3="56fd10b8-a66a-4bc3-90ff-435865a4f2b3" xmlns:ns4="6c2f655e-4fe4-41bc-ac35-81eabaeff16e" targetNamespace="http://schemas.microsoft.com/office/2006/metadata/properties" ma:root="true" ma:fieldsID="b5eeca56fe6d9f49dd1db7a6e8a516c2" ns3:_="" ns4:_="">
    <xsd:import namespace="56fd10b8-a66a-4bc3-90ff-435865a4f2b3"/>
    <xsd:import namespace="6c2f655e-4fe4-41bc-ac35-81eabaeff1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d10b8-a66a-4bc3-90ff-435865a4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f655e-4fe4-41bc-ac35-81eabaeff1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7478E-4C8C-481A-A019-F335F6BC3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64E4B0-0B8F-43FE-9E1F-DC2FDBD85D0A}">
  <ds:schemaRefs>
    <ds:schemaRef ds:uri="http://schemas.microsoft.com/sharepoint/v3/contenttype/forms"/>
  </ds:schemaRefs>
</ds:datastoreItem>
</file>

<file path=customXml/itemProps3.xml><?xml version="1.0" encoding="utf-8"?>
<ds:datastoreItem xmlns:ds="http://schemas.openxmlformats.org/officeDocument/2006/customXml" ds:itemID="{0BDD9DDA-11AF-4278-8671-42E35230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d10b8-a66a-4bc3-90ff-435865a4f2b3"/>
    <ds:schemaRef ds:uri="6c2f655e-4fe4-41bc-ac35-81eabaeff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Rachael</dc:creator>
  <cp:keywords/>
  <dc:description/>
  <cp:lastModifiedBy>Volpe, Rachael</cp:lastModifiedBy>
  <cp:revision>26</cp:revision>
  <dcterms:created xsi:type="dcterms:W3CDTF">2019-12-27T15:50:00Z</dcterms:created>
  <dcterms:modified xsi:type="dcterms:W3CDTF">2019-12-27T18:16:00Z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0x0101004C1C52EC3754314E903F701FEDB9E77B</vt:lpwstr>
  </property>
</Properties>
</file>