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022C" w14:textId="77777777" w:rsidR="000119E0" w:rsidRDefault="000119E0" w:rsidP="000119E0">
      <w:pPr>
        <w:pStyle w:val="Title"/>
        <w:spacing w:after="0"/>
        <w:rPr>
          <w:sz w:val="40"/>
        </w:rPr>
      </w:pPr>
    </w:p>
    <w:p w14:paraId="1D7E41C8" w14:textId="77777777" w:rsidR="000119E0" w:rsidRPr="000119E0" w:rsidRDefault="000119E0" w:rsidP="000119E0">
      <w:pPr>
        <w:jc w:val="both"/>
        <w:rPr>
          <w:rFonts w:eastAsia="Times New Roman"/>
          <w:i/>
        </w:rPr>
      </w:pPr>
      <w:r w:rsidRPr="000119E0">
        <w:rPr>
          <w:rFonts w:eastAsia="Times New Roman"/>
          <w:i/>
          <w:iCs/>
        </w:rPr>
        <w:t>This document is intended for CompuMark law firms and partners to build in their branded templates and share with their clients</w:t>
      </w:r>
    </w:p>
    <w:p w14:paraId="0FAE496F" w14:textId="77777777" w:rsidR="000119E0" w:rsidRPr="000119E0" w:rsidRDefault="000119E0" w:rsidP="000119E0">
      <w:pPr>
        <w:jc w:val="both"/>
        <w:rPr>
          <w:rFonts w:eastAsia="Times New Roman"/>
          <w:i/>
        </w:rPr>
      </w:pPr>
    </w:p>
    <w:p w14:paraId="11B3F7C8" w14:textId="77777777" w:rsidR="00CE29E3" w:rsidRDefault="000119E0" w:rsidP="000119E0">
      <w:pPr>
        <w:jc w:val="both"/>
        <w:rPr>
          <w:rFonts w:eastAsia="Times New Roman"/>
          <w:i/>
        </w:rPr>
        <w:sectPr w:rsidR="00CE29E3" w:rsidSect="002227AE">
          <w:footerReference w:type="first" r:id="rId10"/>
          <w:pgSz w:w="12240" w:h="15840" w:code="1"/>
          <w:pgMar w:top="1440" w:right="1440" w:bottom="1440" w:left="1440" w:header="288" w:footer="792" w:gutter="0"/>
          <w:cols w:space="144"/>
          <w:titlePg/>
          <w:docGrid w:linePitch="360"/>
        </w:sectPr>
      </w:pPr>
      <w:proofErr w:type="gramStart"/>
      <w:r w:rsidRPr="000119E0">
        <w:rPr>
          <w:rFonts w:eastAsia="Times New Roman"/>
          <w:i/>
        </w:rPr>
        <w:t>As long as</w:t>
      </w:r>
      <w:proofErr w:type="gramEnd"/>
      <w:r w:rsidRPr="000119E0">
        <w:rPr>
          <w:rFonts w:eastAsia="Times New Roman"/>
          <w:i/>
        </w:rPr>
        <w:t xml:space="preserve"> the template is active on CompuMark’s Watch Resource Center, CompuMark Watch Customers may use this template to create a Customer branded document to share with their clients. Customer understands that they must check the Resource Center regularly to ensure the template is still in use and that Customer is using the most current version of the template.  Customer agrees that CompuMark may terminate permission to use the template at any time. </w:t>
      </w:r>
    </w:p>
    <w:p w14:paraId="0F1DCD4B" w14:textId="412990A3" w:rsidR="006A4888" w:rsidRPr="006A4888" w:rsidRDefault="006A4888" w:rsidP="006A4888">
      <w:pPr>
        <w:rPr>
          <w:noProof/>
          <w:color w:val="000000" w:themeColor="text1"/>
          <w:lang w:val="en-GB"/>
        </w:rPr>
      </w:pPr>
      <w:r>
        <w:rPr>
          <w:sz w:val="28"/>
          <w:szCs w:val="28"/>
        </w:rPr>
        <w:lastRenderedPageBreak/>
        <w:t>Trademark Watching</w:t>
      </w:r>
    </w:p>
    <w:p w14:paraId="0CCE0EEF" w14:textId="6723F4B2" w:rsidR="000119E0" w:rsidRDefault="00C264B6" w:rsidP="000119E0">
      <w:pPr>
        <w:pStyle w:val="Heading2"/>
        <w:rPr>
          <w:lang w:val="en-US"/>
        </w:rPr>
      </w:pPr>
      <w:r w:rsidRPr="00C264B6">
        <w:rPr>
          <w:bCs w:val="0"/>
          <w:sz w:val="40"/>
          <w:szCs w:val="52"/>
        </w:rPr>
        <w:t>Trusted, global brand vigilance</w:t>
      </w:r>
    </w:p>
    <w:p w14:paraId="33167596" w14:textId="0D779088" w:rsidR="00C264B6" w:rsidRPr="00464783" w:rsidRDefault="00464783" w:rsidP="000119E0">
      <w:pPr>
        <w:pStyle w:val="BodyText"/>
        <w:rPr>
          <w:b/>
        </w:rPr>
      </w:pPr>
      <w:r w:rsidRPr="00464783">
        <w:rPr>
          <w:b/>
        </w:rPr>
        <w:t xml:space="preserve">Meet the challenge of today’s expanding brand threats with complete confidence. Rely on </w:t>
      </w:r>
      <w:r w:rsidR="00583456" w:rsidRPr="00583456">
        <w:rPr>
          <w:b/>
          <w:color w:val="FF0000"/>
        </w:rPr>
        <w:t xml:space="preserve">[Insert Law Firm Name] </w:t>
      </w:r>
      <w:r w:rsidR="00583456">
        <w:rPr>
          <w:b/>
        </w:rPr>
        <w:t xml:space="preserve">powered by </w:t>
      </w:r>
      <w:r w:rsidRPr="00464783">
        <w:rPr>
          <w:b/>
        </w:rPr>
        <w:t>CompuMark’s</w:t>
      </w:r>
      <w:r w:rsidRPr="00464783">
        <w:rPr>
          <w:b/>
          <w:position w:val="7"/>
          <w:sz w:val="11"/>
        </w:rPr>
        <w:t xml:space="preserve">™ </w:t>
      </w:r>
      <w:r w:rsidRPr="00464783">
        <w:rPr>
          <w:b/>
        </w:rPr>
        <w:t>expertise and global reach to help safeguard your trademarks from the risk of infringement due to rising trademark filings, proliferating channels, social media, and the</w:t>
      </w:r>
      <w:r w:rsidRPr="00464783">
        <w:rPr>
          <w:b/>
          <w:spacing w:val="9"/>
        </w:rPr>
        <w:t xml:space="preserve"> </w:t>
      </w:r>
      <w:r w:rsidRPr="00464783">
        <w:rPr>
          <w:b/>
        </w:rPr>
        <w:t>web</w:t>
      </w:r>
    </w:p>
    <w:p w14:paraId="68BD1D6B" w14:textId="7C622033" w:rsidR="00464783" w:rsidRDefault="00464783" w:rsidP="00464783">
      <w:pPr>
        <w:pStyle w:val="BodyText"/>
        <w:rPr>
          <w:rFonts w:asciiTheme="majorHAnsi" w:eastAsiaTheme="majorEastAsia" w:hAnsiTheme="majorHAnsi" w:cstheme="majorBidi"/>
          <w:b/>
          <w:bCs/>
          <w:sz w:val="24"/>
          <w:szCs w:val="26"/>
        </w:rPr>
      </w:pPr>
      <w:r>
        <w:rPr>
          <w:rFonts w:asciiTheme="majorHAnsi" w:eastAsiaTheme="majorEastAsia" w:hAnsiTheme="majorHAnsi" w:cstheme="majorBidi"/>
          <w:b/>
          <w:bCs/>
          <w:sz w:val="24"/>
          <w:szCs w:val="26"/>
        </w:rPr>
        <w:t>Cover all your bases</w:t>
      </w:r>
    </w:p>
    <w:p w14:paraId="38A87C78" w14:textId="689710E0" w:rsidR="0026060D" w:rsidRDefault="0026060D" w:rsidP="0026060D">
      <w:pPr>
        <w:pStyle w:val="BodyText"/>
      </w:pPr>
      <w:r>
        <w:t>We watch the full range of trademark-rich common law and digital channels, reducing your risk of missing critical findings.</w:t>
      </w:r>
    </w:p>
    <w:p w14:paraId="32BBD718" w14:textId="0C988C7F" w:rsidR="0026060D" w:rsidRDefault="0026060D" w:rsidP="0026060D">
      <w:pPr>
        <w:pStyle w:val="BodyText"/>
        <w:numPr>
          <w:ilvl w:val="0"/>
          <w:numId w:val="7"/>
        </w:numPr>
        <w:spacing w:after="0"/>
      </w:pPr>
      <w:r>
        <w:t>Word marks + design marks</w:t>
      </w:r>
    </w:p>
    <w:p w14:paraId="6B3782D7" w14:textId="2252D66D" w:rsidR="0026060D" w:rsidRDefault="0026060D" w:rsidP="0026060D">
      <w:pPr>
        <w:pStyle w:val="BodyText"/>
        <w:numPr>
          <w:ilvl w:val="0"/>
          <w:numId w:val="7"/>
        </w:numPr>
        <w:spacing w:after="0"/>
      </w:pPr>
      <w:r>
        <w:t>Domain names (including ccTLDs, new and legacy gTLDs)</w:t>
      </w:r>
    </w:p>
    <w:p w14:paraId="4BA36B1D" w14:textId="0A614569" w:rsidR="0026060D" w:rsidRDefault="0026060D" w:rsidP="0026060D">
      <w:pPr>
        <w:pStyle w:val="BodyText"/>
        <w:numPr>
          <w:ilvl w:val="0"/>
          <w:numId w:val="7"/>
        </w:numPr>
        <w:spacing w:after="0"/>
      </w:pPr>
      <w:r>
        <w:t>Social media usernames</w:t>
      </w:r>
    </w:p>
    <w:p w14:paraId="57511EDC" w14:textId="217C2052" w:rsidR="0026060D" w:rsidRDefault="0026060D" w:rsidP="0026060D">
      <w:pPr>
        <w:pStyle w:val="BodyText"/>
        <w:numPr>
          <w:ilvl w:val="0"/>
          <w:numId w:val="7"/>
        </w:numPr>
        <w:spacing w:after="0"/>
      </w:pPr>
      <w:r>
        <w:t>International business names</w:t>
      </w:r>
    </w:p>
    <w:p w14:paraId="5E19CA44" w14:textId="77B6E0E6" w:rsidR="0026060D" w:rsidRDefault="0026060D" w:rsidP="0026060D">
      <w:pPr>
        <w:pStyle w:val="BodyText"/>
        <w:numPr>
          <w:ilvl w:val="0"/>
          <w:numId w:val="7"/>
        </w:numPr>
        <w:spacing w:after="0"/>
      </w:pPr>
      <w:r>
        <w:t>Non-Latin character marks</w:t>
      </w:r>
    </w:p>
    <w:p w14:paraId="2D5F1E1C" w14:textId="505277E3" w:rsidR="00C264B6" w:rsidRDefault="0026060D" w:rsidP="0026060D">
      <w:pPr>
        <w:pStyle w:val="BodyText"/>
        <w:numPr>
          <w:ilvl w:val="0"/>
          <w:numId w:val="7"/>
        </w:numPr>
        <w:spacing w:after="0"/>
      </w:pPr>
      <w:r>
        <w:t>Watch an entire class</w:t>
      </w:r>
    </w:p>
    <w:p w14:paraId="06CE18A2" w14:textId="2B93B82C" w:rsidR="0026060D" w:rsidRDefault="0026060D" w:rsidP="0026060D">
      <w:pPr>
        <w:pStyle w:val="BodyText"/>
        <w:spacing w:after="0"/>
      </w:pPr>
    </w:p>
    <w:p w14:paraId="3294921B" w14:textId="77777777" w:rsidR="005E10D8" w:rsidRPr="005E10D8" w:rsidRDefault="005E10D8" w:rsidP="005E10D8">
      <w:pPr>
        <w:pStyle w:val="BodyText"/>
        <w:rPr>
          <w:rFonts w:asciiTheme="majorHAnsi" w:eastAsiaTheme="majorEastAsia" w:hAnsiTheme="majorHAnsi" w:cstheme="majorBidi"/>
          <w:b/>
          <w:bCs/>
          <w:sz w:val="24"/>
          <w:szCs w:val="26"/>
        </w:rPr>
      </w:pPr>
      <w:r w:rsidRPr="005E10D8">
        <w:rPr>
          <w:rFonts w:asciiTheme="majorHAnsi" w:eastAsiaTheme="majorEastAsia" w:hAnsiTheme="majorHAnsi" w:cstheme="majorBidi"/>
          <w:b/>
          <w:bCs/>
          <w:sz w:val="24"/>
          <w:szCs w:val="26"/>
        </w:rPr>
        <w:t>Reliable trademark data</w:t>
      </w:r>
    </w:p>
    <w:p w14:paraId="463ECA68" w14:textId="55841B1E" w:rsidR="005E10D8" w:rsidRPr="005E10D8" w:rsidRDefault="005E10D8" w:rsidP="005E10D8">
      <w:pPr>
        <w:pStyle w:val="BodyText"/>
        <w:spacing w:after="0"/>
        <w:rPr>
          <w:lang w:val="en-US"/>
        </w:rPr>
      </w:pPr>
      <w:r w:rsidRPr="005E10D8">
        <w:rPr>
          <w:lang w:val="en-US"/>
        </w:rPr>
        <w:t>Make confident risk assessments based on quality data</w:t>
      </w:r>
      <w:r w:rsidR="00A51A42">
        <w:rPr>
          <w:lang w:val="en-US"/>
        </w:rPr>
        <w:t xml:space="preserve">. </w:t>
      </w:r>
      <w:r w:rsidR="00A51A42" w:rsidRPr="00C174D3">
        <w:rPr>
          <w:color w:val="FF0000"/>
          <w:lang w:val="en-US"/>
        </w:rPr>
        <w:t>[Insert Law Firm Name]</w:t>
      </w:r>
      <w:r w:rsidR="00A51A42">
        <w:rPr>
          <w:lang w:val="en-US"/>
        </w:rPr>
        <w:t>’s Watches are backed by</w:t>
      </w:r>
      <w:r w:rsidR="00B16CE2">
        <w:rPr>
          <w:lang w:val="en-US"/>
        </w:rPr>
        <w:t xml:space="preserve"> </w:t>
      </w:r>
      <w:r w:rsidR="007A5131">
        <w:rPr>
          <w:lang w:val="en-US"/>
        </w:rPr>
        <w:t>CompuMark’s</w:t>
      </w:r>
      <w:r w:rsidRPr="005E10D8">
        <w:rPr>
          <w:lang w:val="en-US"/>
        </w:rPr>
        <w:t xml:space="preserve"> dedicated quality</w:t>
      </w:r>
      <w:r>
        <w:rPr>
          <w:lang w:val="en-US"/>
        </w:rPr>
        <w:t xml:space="preserve"> </w:t>
      </w:r>
      <w:r w:rsidRPr="005E10D8">
        <w:rPr>
          <w:lang w:val="en-US"/>
        </w:rPr>
        <w:t xml:space="preserve">team </w:t>
      </w:r>
      <w:r w:rsidR="0073146B">
        <w:rPr>
          <w:lang w:val="en-US"/>
        </w:rPr>
        <w:t xml:space="preserve">which </w:t>
      </w:r>
      <w:r w:rsidRPr="005E10D8">
        <w:rPr>
          <w:lang w:val="en-US"/>
        </w:rPr>
        <w:t>reviews data from trademark sources worldwide to identify and correct errors, so you can act with certainty.</w:t>
      </w:r>
    </w:p>
    <w:p w14:paraId="31DB7F5B" w14:textId="77777777" w:rsidR="005E10D8" w:rsidRPr="005E10D8" w:rsidRDefault="005E10D8" w:rsidP="005E10D8">
      <w:pPr>
        <w:pStyle w:val="BodyText"/>
        <w:spacing w:after="0"/>
        <w:rPr>
          <w:lang w:val="en-US"/>
        </w:rPr>
      </w:pPr>
    </w:p>
    <w:p w14:paraId="4CB19CC0" w14:textId="77777777" w:rsidR="005E10D8" w:rsidRPr="005E10D8" w:rsidRDefault="005E10D8" w:rsidP="005E10D8">
      <w:pPr>
        <w:pStyle w:val="BodyText"/>
        <w:rPr>
          <w:rFonts w:asciiTheme="majorHAnsi" w:eastAsiaTheme="majorEastAsia" w:hAnsiTheme="majorHAnsi" w:cstheme="majorBidi"/>
          <w:b/>
          <w:bCs/>
          <w:sz w:val="24"/>
          <w:szCs w:val="26"/>
        </w:rPr>
      </w:pPr>
      <w:r w:rsidRPr="005E10D8">
        <w:rPr>
          <w:rFonts w:asciiTheme="majorHAnsi" w:eastAsiaTheme="majorEastAsia" w:hAnsiTheme="majorHAnsi" w:cstheme="majorBidi"/>
          <w:b/>
          <w:bCs/>
          <w:sz w:val="24"/>
          <w:szCs w:val="26"/>
        </w:rPr>
        <w:t>Global depth and breadth</w:t>
      </w:r>
    </w:p>
    <w:p w14:paraId="229DE294" w14:textId="5EB276A2" w:rsidR="005E10D8" w:rsidRPr="005E10D8" w:rsidRDefault="005E10D8" w:rsidP="005E10D8">
      <w:pPr>
        <w:pStyle w:val="BodyText"/>
        <w:spacing w:after="0"/>
        <w:rPr>
          <w:lang w:val="en-US"/>
        </w:rPr>
      </w:pPr>
      <w:r w:rsidRPr="005E10D8">
        <w:rPr>
          <w:lang w:val="en-US"/>
        </w:rPr>
        <w:t>Watch your marks in more than 250 countries and territories across 190+ official trademark registers, including emerging markets</w:t>
      </w:r>
      <w:r>
        <w:rPr>
          <w:lang w:val="en-US"/>
        </w:rPr>
        <w:t xml:space="preserve"> </w:t>
      </w:r>
      <w:r w:rsidRPr="005E10D8">
        <w:rPr>
          <w:lang w:val="en-US"/>
        </w:rPr>
        <w:t>other providers may overlook. We take the time to present data in a consistent format</w:t>
      </w:r>
      <w:r>
        <w:rPr>
          <w:lang w:val="en-US"/>
        </w:rPr>
        <w:t xml:space="preserve"> </w:t>
      </w:r>
      <w:r w:rsidRPr="005E10D8">
        <w:rPr>
          <w:lang w:val="en-US"/>
        </w:rPr>
        <w:t xml:space="preserve">– additional work others </w:t>
      </w:r>
      <w:r w:rsidR="007A5131">
        <w:rPr>
          <w:lang w:val="en-US"/>
        </w:rPr>
        <w:t xml:space="preserve">may </w:t>
      </w:r>
      <w:r w:rsidRPr="005E10D8">
        <w:rPr>
          <w:lang w:val="en-US"/>
        </w:rPr>
        <w:t>not perform.</w:t>
      </w:r>
    </w:p>
    <w:p w14:paraId="1E0A0DFA" w14:textId="77777777" w:rsidR="005E10D8" w:rsidRPr="005E10D8" w:rsidRDefault="005E10D8" w:rsidP="005E10D8">
      <w:pPr>
        <w:pStyle w:val="BodyText"/>
        <w:spacing w:after="0"/>
        <w:rPr>
          <w:lang w:val="en-US"/>
        </w:rPr>
      </w:pPr>
    </w:p>
    <w:p w14:paraId="02C6EADE" w14:textId="77777777" w:rsidR="005E10D8" w:rsidRPr="005E10D8" w:rsidRDefault="005E10D8" w:rsidP="005E10D8">
      <w:pPr>
        <w:pStyle w:val="BodyText"/>
        <w:rPr>
          <w:rFonts w:asciiTheme="majorHAnsi" w:eastAsiaTheme="majorEastAsia" w:hAnsiTheme="majorHAnsi" w:cstheme="majorBidi"/>
          <w:b/>
          <w:bCs/>
          <w:sz w:val="24"/>
          <w:szCs w:val="26"/>
        </w:rPr>
      </w:pPr>
      <w:r w:rsidRPr="005E10D8">
        <w:rPr>
          <w:rFonts w:asciiTheme="majorHAnsi" w:eastAsiaTheme="majorEastAsia" w:hAnsiTheme="majorHAnsi" w:cstheme="majorBidi"/>
          <w:b/>
          <w:bCs/>
          <w:sz w:val="24"/>
          <w:szCs w:val="26"/>
        </w:rPr>
        <w:t>Efficient delivery</w:t>
      </w:r>
    </w:p>
    <w:p w14:paraId="242CFF39" w14:textId="77777777" w:rsidR="005E10D8" w:rsidRPr="005E10D8" w:rsidRDefault="005E10D8" w:rsidP="005E10D8">
      <w:pPr>
        <w:pStyle w:val="BodyText"/>
        <w:spacing w:after="0"/>
        <w:rPr>
          <w:lang w:val="en-US"/>
        </w:rPr>
      </w:pPr>
      <w:r w:rsidRPr="005E10D8">
        <w:rPr>
          <w:lang w:val="en-US"/>
        </w:rPr>
        <w:t>We deliver actionable information when you need it, so you can act quickly to protect your brands.</w:t>
      </w:r>
    </w:p>
    <w:p w14:paraId="6D47E681" w14:textId="77777777" w:rsidR="005E10D8" w:rsidRPr="005E10D8" w:rsidRDefault="005E10D8" w:rsidP="005E10D8">
      <w:pPr>
        <w:pStyle w:val="BodyText"/>
        <w:spacing w:after="0"/>
        <w:rPr>
          <w:lang w:val="en-US"/>
        </w:rPr>
      </w:pPr>
      <w:r w:rsidRPr="005E10D8">
        <w:rPr>
          <w:lang w:val="en-US"/>
        </w:rPr>
        <w:t xml:space="preserve"> </w:t>
      </w:r>
    </w:p>
    <w:p w14:paraId="7A62C790" w14:textId="77777777" w:rsidR="005E10D8" w:rsidRPr="005E10D8" w:rsidRDefault="005E10D8" w:rsidP="005E10D8">
      <w:pPr>
        <w:pStyle w:val="BodyText"/>
        <w:rPr>
          <w:rFonts w:asciiTheme="majorHAnsi" w:eastAsiaTheme="majorEastAsia" w:hAnsiTheme="majorHAnsi" w:cstheme="majorBidi"/>
          <w:b/>
          <w:bCs/>
          <w:sz w:val="24"/>
          <w:szCs w:val="26"/>
        </w:rPr>
      </w:pPr>
      <w:r w:rsidRPr="005E10D8">
        <w:rPr>
          <w:rFonts w:asciiTheme="majorHAnsi" w:eastAsiaTheme="majorEastAsia" w:hAnsiTheme="majorHAnsi" w:cstheme="majorBidi"/>
          <w:b/>
          <w:bCs/>
          <w:sz w:val="24"/>
          <w:szCs w:val="26"/>
        </w:rPr>
        <w:t>Fast, efficient watch management</w:t>
      </w:r>
    </w:p>
    <w:p w14:paraId="3A8EE450" w14:textId="6B94798E" w:rsidR="005E10D8" w:rsidRPr="005E10D8" w:rsidRDefault="005E10D8" w:rsidP="005E10D8">
      <w:pPr>
        <w:pStyle w:val="BodyText"/>
        <w:spacing w:after="0"/>
        <w:rPr>
          <w:lang w:val="en-US"/>
        </w:rPr>
      </w:pPr>
      <w:r w:rsidRPr="005E10D8">
        <w:rPr>
          <w:lang w:val="en-US"/>
        </w:rPr>
        <w:t xml:space="preserve">Get more done in less time, with less effort. </w:t>
      </w:r>
      <w:r w:rsidR="00CE20E8">
        <w:rPr>
          <w:lang w:val="en-US"/>
        </w:rPr>
        <w:t xml:space="preserve">CompuMark’s </w:t>
      </w:r>
      <w:r w:rsidRPr="005E10D8">
        <w:rPr>
          <w:lang w:val="en-US"/>
        </w:rPr>
        <w:t>Watch on SERION® simplifies and speeds every aspect of your trademark watching.</w:t>
      </w:r>
    </w:p>
    <w:p w14:paraId="16D9946D" w14:textId="77777777" w:rsidR="005E10D8" w:rsidRPr="005E10D8" w:rsidRDefault="005E10D8" w:rsidP="005E10D8">
      <w:pPr>
        <w:pStyle w:val="BodyText"/>
        <w:spacing w:after="0"/>
        <w:rPr>
          <w:lang w:val="en-US"/>
        </w:rPr>
      </w:pPr>
    </w:p>
    <w:p w14:paraId="341FD863" w14:textId="2F7F0054" w:rsidR="005E10D8" w:rsidRPr="005E10D8" w:rsidRDefault="005E10D8" w:rsidP="005E10D8">
      <w:pPr>
        <w:pStyle w:val="BodyText"/>
        <w:numPr>
          <w:ilvl w:val="0"/>
          <w:numId w:val="8"/>
        </w:numPr>
        <w:spacing w:after="0"/>
        <w:rPr>
          <w:lang w:val="en-US"/>
        </w:rPr>
      </w:pPr>
      <w:r w:rsidRPr="005E10D8">
        <w:rPr>
          <w:lang w:val="en-US"/>
        </w:rPr>
        <w:t>Review watch notices by email or in SERION as soon as they’re available</w:t>
      </w:r>
    </w:p>
    <w:p w14:paraId="44BD300C" w14:textId="44CC65F8" w:rsidR="005E10D8" w:rsidRPr="005E10D8" w:rsidRDefault="005E10D8" w:rsidP="005E10D8">
      <w:pPr>
        <w:pStyle w:val="BodyText"/>
        <w:numPr>
          <w:ilvl w:val="0"/>
          <w:numId w:val="8"/>
        </w:numPr>
        <w:spacing w:after="0"/>
        <w:rPr>
          <w:lang w:val="en-US"/>
        </w:rPr>
      </w:pPr>
      <w:r w:rsidRPr="005E10D8">
        <w:rPr>
          <w:lang w:val="en-US"/>
        </w:rPr>
        <w:t>Accelerate your review with powerful filtering and sorting, plus POCA similarity scoring</w:t>
      </w:r>
    </w:p>
    <w:p w14:paraId="28E90D49" w14:textId="2C870145" w:rsidR="005E10D8" w:rsidRPr="005E10D8" w:rsidRDefault="005E10D8" w:rsidP="005E10D8">
      <w:pPr>
        <w:pStyle w:val="BodyText"/>
        <w:numPr>
          <w:ilvl w:val="0"/>
          <w:numId w:val="8"/>
        </w:numPr>
        <w:spacing w:after="0"/>
        <w:rPr>
          <w:lang w:val="en-US"/>
        </w:rPr>
      </w:pPr>
      <w:r w:rsidRPr="005E10D8">
        <w:rPr>
          <w:lang w:val="en-US"/>
        </w:rPr>
        <w:t>Prioritize actions with our innovative Opposition Dashboard, showing the days to opposition for each mark cited</w:t>
      </w:r>
    </w:p>
    <w:p w14:paraId="0FAF6398" w14:textId="4006822B" w:rsidR="005E10D8" w:rsidRPr="005E10D8" w:rsidRDefault="005E10D8" w:rsidP="005E10D8">
      <w:pPr>
        <w:pStyle w:val="BodyText"/>
        <w:numPr>
          <w:ilvl w:val="0"/>
          <w:numId w:val="8"/>
        </w:numPr>
        <w:spacing w:after="0"/>
        <w:rPr>
          <w:lang w:val="en-US"/>
        </w:rPr>
      </w:pPr>
      <w:r w:rsidRPr="005E10D8">
        <w:rPr>
          <w:lang w:val="en-US"/>
        </w:rPr>
        <w:t>Hide marks from watch results to avoid duplicates on future notices</w:t>
      </w:r>
    </w:p>
    <w:p w14:paraId="568C68ED" w14:textId="5CA130D6" w:rsidR="005E10D8" w:rsidRPr="005E10D8" w:rsidRDefault="005E10D8" w:rsidP="005E10D8">
      <w:pPr>
        <w:pStyle w:val="BodyText"/>
        <w:numPr>
          <w:ilvl w:val="0"/>
          <w:numId w:val="8"/>
        </w:numPr>
        <w:spacing w:after="0"/>
        <w:rPr>
          <w:lang w:val="en-US"/>
        </w:rPr>
      </w:pPr>
      <w:r w:rsidRPr="005E10D8">
        <w:rPr>
          <w:lang w:val="en-US"/>
        </w:rPr>
        <w:t>Access 6 years of watch history</w:t>
      </w:r>
      <w:bookmarkStart w:id="0" w:name="_GoBack"/>
      <w:bookmarkEnd w:id="0"/>
    </w:p>
    <w:p w14:paraId="61A9D66C" w14:textId="26C512C5" w:rsidR="005E10D8" w:rsidRPr="005E10D8" w:rsidRDefault="005E10D8" w:rsidP="005E10D8">
      <w:pPr>
        <w:pStyle w:val="BodyText"/>
        <w:numPr>
          <w:ilvl w:val="0"/>
          <w:numId w:val="8"/>
        </w:numPr>
        <w:spacing w:after="0"/>
        <w:rPr>
          <w:lang w:val="en-US"/>
        </w:rPr>
      </w:pPr>
      <w:r w:rsidRPr="005E10D8">
        <w:rPr>
          <w:lang w:val="en-US"/>
        </w:rPr>
        <w:t>Export and email key findings to clients and share results with colleagues</w:t>
      </w:r>
      <w:r>
        <w:rPr>
          <w:lang w:val="en-US"/>
        </w:rPr>
        <w:t xml:space="preserve"> </w:t>
      </w:r>
      <w:r w:rsidRPr="005E10D8">
        <w:rPr>
          <w:lang w:val="en-US"/>
        </w:rPr>
        <w:t>using online collaboration</w:t>
      </w:r>
    </w:p>
    <w:p w14:paraId="4B93DC5A" w14:textId="207AAE23" w:rsidR="005E10D8" w:rsidRPr="005E10D8" w:rsidRDefault="005E10D8" w:rsidP="005E10D8">
      <w:pPr>
        <w:pStyle w:val="BodyText"/>
        <w:numPr>
          <w:ilvl w:val="0"/>
          <w:numId w:val="8"/>
        </w:numPr>
        <w:spacing w:after="0"/>
        <w:rPr>
          <w:lang w:val="en-US"/>
        </w:rPr>
      </w:pPr>
      <w:r w:rsidRPr="005E10D8">
        <w:rPr>
          <w:lang w:val="en-US"/>
        </w:rPr>
        <w:t>Customize your user experience within Watch on SERION preferences</w:t>
      </w:r>
    </w:p>
    <w:p w14:paraId="21FED8AE" w14:textId="77777777" w:rsidR="00E131D3" w:rsidRDefault="005E10D8" w:rsidP="000119E0">
      <w:pPr>
        <w:pStyle w:val="BodyText"/>
        <w:numPr>
          <w:ilvl w:val="0"/>
          <w:numId w:val="8"/>
        </w:numPr>
        <w:spacing w:after="0"/>
        <w:rPr>
          <w:lang w:val="en-US"/>
        </w:rPr>
      </w:pPr>
      <w:r w:rsidRPr="005E10D8">
        <w:rPr>
          <w:lang w:val="en-US"/>
        </w:rPr>
        <w:t>Access watch notices on the go with our Trademark Analysis app for the iPad</w:t>
      </w:r>
    </w:p>
    <w:p w14:paraId="38DD2FDA" w14:textId="77777777" w:rsidR="00E131D3" w:rsidRDefault="00E131D3" w:rsidP="00E131D3">
      <w:pPr>
        <w:pStyle w:val="BodyText"/>
        <w:spacing w:after="0"/>
        <w:sectPr w:rsidR="00E131D3" w:rsidSect="002227AE">
          <w:pgSz w:w="12240" w:h="15840" w:code="1"/>
          <w:pgMar w:top="1440" w:right="1440" w:bottom="1440" w:left="1440" w:header="288" w:footer="792" w:gutter="0"/>
          <w:cols w:space="144"/>
          <w:titlePg/>
          <w:docGrid w:linePitch="360"/>
        </w:sectPr>
      </w:pPr>
    </w:p>
    <w:p w14:paraId="6CC92069" w14:textId="48CB432F" w:rsidR="000119E0" w:rsidRPr="00E131D3" w:rsidRDefault="000119E0" w:rsidP="00E131D3">
      <w:pPr>
        <w:pStyle w:val="BodyText"/>
        <w:rPr>
          <w:rFonts w:asciiTheme="majorHAnsi" w:eastAsiaTheme="majorEastAsia" w:hAnsiTheme="majorHAnsi" w:cstheme="majorBidi"/>
          <w:b/>
          <w:bCs/>
          <w:sz w:val="24"/>
          <w:szCs w:val="26"/>
        </w:rPr>
      </w:pPr>
      <w:r w:rsidRPr="00E131D3">
        <w:rPr>
          <w:rFonts w:asciiTheme="majorHAnsi" w:eastAsiaTheme="majorEastAsia" w:hAnsiTheme="majorHAnsi" w:cstheme="majorBidi"/>
          <w:b/>
          <w:bCs/>
          <w:sz w:val="24"/>
          <w:szCs w:val="26"/>
        </w:rPr>
        <w:lastRenderedPageBreak/>
        <w:t xml:space="preserve">Contact information </w:t>
      </w:r>
    </w:p>
    <w:p w14:paraId="7AED4A96" w14:textId="77777777" w:rsidR="000119E0" w:rsidRDefault="000119E0" w:rsidP="000119E0">
      <w:pPr>
        <w:pStyle w:val="BodyText"/>
        <w:sectPr w:rsidR="000119E0" w:rsidSect="002227AE">
          <w:footerReference w:type="first" r:id="rId11"/>
          <w:pgSz w:w="12240" w:h="15840" w:code="1"/>
          <w:pgMar w:top="1440" w:right="1440" w:bottom="1440" w:left="1440" w:header="288" w:footer="792" w:gutter="0"/>
          <w:cols w:space="144"/>
          <w:titlePg/>
          <w:docGrid w:linePitch="360"/>
        </w:sectPr>
      </w:pPr>
    </w:p>
    <w:p w14:paraId="7C5352CD" w14:textId="77777777" w:rsidR="000119E0" w:rsidRPr="000119E0" w:rsidRDefault="000119E0" w:rsidP="000119E0">
      <w:pPr>
        <w:pStyle w:val="BodyText"/>
      </w:pPr>
      <w:r w:rsidRPr="00B2576B">
        <w:t xml:space="preserve">To request an International Business Name Watch, please </w:t>
      </w:r>
      <w:r>
        <w:t xml:space="preserve">contact </w:t>
      </w:r>
      <w:r w:rsidRPr="000119E0">
        <w:rPr>
          <w:color w:val="FF0000"/>
        </w:rPr>
        <w:t xml:space="preserve">[Insert Law Firm Name] </w:t>
      </w:r>
      <w:r w:rsidRPr="00B2576B">
        <w:t>today.</w:t>
      </w:r>
    </w:p>
    <w:p w14:paraId="239C7B7C" w14:textId="77777777" w:rsidR="000119E0" w:rsidRPr="00741A8F" w:rsidRDefault="000119E0" w:rsidP="000119E0">
      <w:pPr>
        <w:pStyle w:val="BodyText"/>
        <w:spacing w:after="0"/>
        <w:rPr>
          <w:sz w:val="18"/>
        </w:rPr>
      </w:pPr>
    </w:p>
    <w:p w14:paraId="453A0502" w14:textId="77777777" w:rsidR="000119E0" w:rsidRPr="00741A8F" w:rsidRDefault="00CE20E8" w:rsidP="000119E0">
      <w:pPr>
        <w:pStyle w:val="BodyText"/>
        <w:spacing w:after="0"/>
        <w:rPr>
          <w:sz w:val="18"/>
        </w:rPr>
      </w:pPr>
      <w:hyperlink r:id="rId12" w:history="1">
        <w:r w:rsidR="000119E0" w:rsidRPr="00741A8F">
          <w:rPr>
            <w:rStyle w:val="Hyperlink"/>
            <w:sz w:val="18"/>
          </w:rPr>
          <w:t>compumark.com</w:t>
        </w:r>
      </w:hyperlink>
    </w:p>
    <w:p w14:paraId="5DDF0A12" w14:textId="77777777" w:rsidR="000119E0" w:rsidRDefault="00CE20E8" w:rsidP="000119E0">
      <w:pPr>
        <w:pStyle w:val="BodyText"/>
        <w:spacing w:after="0"/>
        <w:sectPr w:rsidR="000119E0" w:rsidSect="000119E0">
          <w:type w:val="continuous"/>
          <w:pgSz w:w="12240" w:h="15840" w:code="1"/>
          <w:pgMar w:top="1440" w:right="1440" w:bottom="1440" w:left="1440" w:header="288" w:footer="792" w:gutter="0"/>
          <w:cols w:space="144"/>
          <w:titlePg/>
          <w:docGrid w:linePitch="360"/>
        </w:sectPr>
      </w:pPr>
      <w:hyperlink r:id="rId13" w:history="1">
        <w:r w:rsidR="000119E0" w:rsidRPr="00741A8F">
          <w:rPr>
            <w:rStyle w:val="Hyperlink"/>
            <w:sz w:val="18"/>
          </w:rPr>
          <w:t>clarivate.com</w:t>
        </w:r>
      </w:hyperlink>
    </w:p>
    <w:p w14:paraId="50924767" w14:textId="77777777" w:rsidR="000119E0" w:rsidRDefault="000119E0" w:rsidP="000119E0">
      <w:pPr>
        <w:pStyle w:val="BodyText"/>
      </w:pPr>
    </w:p>
    <w:p w14:paraId="16CA25B8" w14:textId="77777777" w:rsidR="000119E0" w:rsidRDefault="000119E0" w:rsidP="000119E0">
      <w:pPr>
        <w:sectPr w:rsidR="000119E0" w:rsidSect="000119E0">
          <w:type w:val="continuous"/>
          <w:pgSz w:w="12240" w:h="15840" w:code="1"/>
          <w:pgMar w:top="1440" w:right="1440" w:bottom="1440" w:left="1440" w:header="288" w:footer="792" w:gutter="0"/>
          <w:cols w:space="708"/>
          <w:titlePg/>
          <w:docGrid w:linePitch="360"/>
        </w:sectPr>
      </w:pPr>
    </w:p>
    <w:p w14:paraId="6415BB83" w14:textId="77777777" w:rsidR="000119E0" w:rsidRDefault="000119E0" w:rsidP="000119E0">
      <w:pPr>
        <w:sectPr w:rsidR="000119E0" w:rsidSect="000119E0">
          <w:type w:val="continuous"/>
          <w:pgSz w:w="12240" w:h="15840" w:code="1"/>
          <w:pgMar w:top="1440" w:right="1440" w:bottom="1440" w:left="1440" w:header="288" w:footer="792" w:gutter="0"/>
          <w:cols w:space="708"/>
          <w:titlePg/>
          <w:docGrid w:linePitch="360"/>
        </w:sectPr>
      </w:pPr>
    </w:p>
    <w:p w14:paraId="30C78F38" w14:textId="77777777" w:rsidR="000119E0" w:rsidRDefault="000119E0" w:rsidP="000119E0">
      <w:pPr>
        <w:tabs>
          <w:tab w:val="left" w:pos="1325"/>
          <w:tab w:val="left" w:pos="2016"/>
        </w:tabs>
      </w:pPr>
      <w:r>
        <w:tab/>
      </w:r>
    </w:p>
    <w:p w14:paraId="72CE3022" w14:textId="77777777" w:rsidR="000119E0" w:rsidRPr="001668F4" w:rsidRDefault="000119E0" w:rsidP="000119E0"/>
    <w:p w14:paraId="6B196B8E" w14:textId="77777777" w:rsidR="000119E0" w:rsidRPr="001668F4" w:rsidRDefault="000119E0" w:rsidP="000119E0"/>
    <w:p w14:paraId="4940134F" w14:textId="77777777" w:rsidR="000119E0" w:rsidRPr="001668F4" w:rsidRDefault="000119E0" w:rsidP="000119E0"/>
    <w:p w14:paraId="3A3186C1" w14:textId="77777777" w:rsidR="000119E0" w:rsidRPr="001668F4" w:rsidRDefault="000119E0" w:rsidP="000119E0">
      <w:pPr>
        <w:tabs>
          <w:tab w:val="left" w:pos="1515"/>
        </w:tabs>
      </w:pPr>
      <w:r>
        <w:tab/>
      </w:r>
    </w:p>
    <w:p w14:paraId="190B77C7" w14:textId="77777777" w:rsidR="006D4AB6" w:rsidRDefault="00CE20E8"/>
    <w:sectPr w:rsidR="006D4AB6" w:rsidSect="000119E0">
      <w:type w:val="continuous"/>
      <w:pgSz w:w="12240" w:h="15840" w:code="1"/>
      <w:pgMar w:top="1440" w:right="1440" w:bottom="1440" w:left="1440" w:header="28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4E2A8" w14:textId="77777777" w:rsidR="00A17DAF" w:rsidRDefault="00A17DAF" w:rsidP="000119E0">
      <w:pPr>
        <w:spacing w:after="0" w:line="240" w:lineRule="auto"/>
      </w:pPr>
      <w:r>
        <w:separator/>
      </w:r>
    </w:p>
  </w:endnote>
  <w:endnote w:type="continuationSeparator" w:id="0">
    <w:p w14:paraId="0C2D4073" w14:textId="77777777" w:rsidR="00A17DAF" w:rsidRDefault="00A17DAF" w:rsidP="0001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50B4E" w14:textId="4F5083AA" w:rsidR="002227AE" w:rsidRPr="00A4343D" w:rsidRDefault="002227AE" w:rsidP="00A4343D">
    <w:pPr>
      <w:pStyle w:val="Footer"/>
      <w:ind w:left="0"/>
      <w:rPr>
        <w:noProof/>
        <w:sz w:val="16"/>
        <w:szCs w:val="20"/>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E777" w14:textId="77777777" w:rsidR="00E131D3" w:rsidRPr="00A4343D" w:rsidRDefault="00E131D3" w:rsidP="00A4343D">
    <w:pPr>
      <w:pStyle w:val="Footer"/>
      <w:ind w:left="0"/>
      <w:rPr>
        <w:noProof/>
        <w:sz w:val="16"/>
        <w:szCs w:val="20"/>
        <w:lang w:val="en-AU"/>
      </w:rPr>
    </w:pPr>
    <w:r w:rsidRPr="00A4343D">
      <w:rPr>
        <w:noProof/>
        <w:sz w:val="16"/>
        <w:szCs w:val="20"/>
        <w:lang w:val="en-AU"/>
      </w:rPr>
      <w:t xml:space="preserve">© 2019 Clarivate Analytics. </w:t>
    </w:r>
    <w:r w:rsidRPr="000119E0">
      <w:rPr>
        <w:noProof/>
        <w:sz w:val="16"/>
        <w:szCs w:val="20"/>
        <w:lang w:val="en-AU"/>
      </w:rPr>
      <w:t>CompuMark is a trademark of its respective owner and used herein with permission.</w:t>
    </w:r>
    <w:r>
      <w:rPr>
        <w:noProof/>
        <w:sz w:val="16"/>
        <w:szCs w:val="20"/>
        <w:lang w:val="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8B14E" w14:textId="77777777" w:rsidR="00A17DAF" w:rsidRDefault="00A17DAF" w:rsidP="000119E0">
      <w:pPr>
        <w:spacing w:after="0" w:line="240" w:lineRule="auto"/>
      </w:pPr>
      <w:r>
        <w:separator/>
      </w:r>
    </w:p>
  </w:footnote>
  <w:footnote w:type="continuationSeparator" w:id="0">
    <w:p w14:paraId="30B74174" w14:textId="77777777" w:rsidR="00A17DAF" w:rsidRDefault="00A17DAF" w:rsidP="00011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829"/>
    <w:multiLevelType w:val="hybridMultilevel"/>
    <w:tmpl w:val="31D0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F2E6F"/>
    <w:multiLevelType w:val="multilevel"/>
    <w:tmpl w:val="55DC2BC4"/>
    <w:styleLink w:val="ListBullets"/>
    <w:lvl w:ilvl="0">
      <w:start w:val="1"/>
      <w:numFmt w:val="bullet"/>
      <w:pStyle w:val="ListBullet"/>
      <w:lvlText w:val="•"/>
      <w:lvlJc w:val="left"/>
      <w:pPr>
        <w:tabs>
          <w:tab w:val="num" w:pos="284"/>
        </w:tabs>
        <w:ind w:left="284" w:hanging="284"/>
      </w:pPr>
      <w:rPr>
        <w:rFonts w:ascii="Calibri" w:hAnsi="Calibri" w:hint="default"/>
      </w:rPr>
    </w:lvl>
    <w:lvl w:ilvl="1">
      <w:start w:val="1"/>
      <w:numFmt w:val="bullet"/>
      <w:lvlText w:val="–"/>
      <w:lvlJc w:val="left"/>
      <w:pPr>
        <w:tabs>
          <w:tab w:val="num" w:pos="567"/>
        </w:tabs>
        <w:ind w:left="567" w:hanging="283"/>
      </w:pPr>
      <w:rPr>
        <w:rFonts w:ascii="Calibri" w:hAnsi="Calibri" w:hint="default"/>
      </w:rPr>
    </w:lvl>
    <w:lvl w:ilvl="2">
      <w:start w:val="1"/>
      <w:numFmt w:val="bullet"/>
      <w:lvlText w:val="•"/>
      <w:lvlJc w:val="left"/>
      <w:pPr>
        <w:tabs>
          <w:tab w:val="num" w:pos="851"/>
        </w:tabs>
        <w:ind w:left="851" w:hanging="284"/>
      </w:pPr>
      <w:rPr>
        <w:rFonts w:ascii="Calibri" w:hAnsi="Calibri"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none"/>
      <w:lvlText w:val=""/>
      <w:lvlJc w:val="left"/>
      <w:pPr>
        <w:tabs>
          <w:tab w:val="num" w:pos="851"/>
        </w:tabs>
        <w:ind w:left="851" w:hanging="284"/>
      </w:pPr>
      <w:rPr>
        <w:rFonts w:hint="default"/>
      </w:rPr>
    </w:lvl>
    <w:lvl w:ilvl="6">
      <w:start w:val="1"/>
      <w:numFmt w:val="none"/>
      <w:lvlText w:val=""/>
      <w:lvlJc w:val="left"/>
      <w:pPr>
        <w:tabs>
          <w:tab w:val="num" w:pos="851"/>
        </w:tabs>
        <w:ind w:left="851" w:hanging="284"/>
      </w:pPr>
      <w:rPr>
        <w:rFonts w:hint="default"/>
      </w:rPr>
    </w:lvl>
    <w:lvl w:ilvl="7">
      <w:start w:val="1"/>
      <w:numFmt w:val="none"/>
      <w:lvlText w:val=""/>
      <w:lvlJc w:val="left"/>
      <w:pPr>
        <w:tabs>
          <w:tab w:val="num" w:pos="851"/>
        </w:tabs>
        <w:ind w:left="851" w:hanging="284"/>
      </w:pPr>
      <w:rPr>
        <w:rFonts w:hint="default"/>
      </w:rPr>
    </w:lvl>
    <w:lvl w:ilvl="8">
      <w:start w:val="1"/>
      <w:numFmt w:val="none"/>
      <w:lvlText w:val=""/>
      <w:lvlJc w:val="left"/>
      <w:pPr>
        <w:tabs>
          <w:tab w:val="num" w:pos="851"/>
        </w:tabs>
        <w:ind w:left="851" w:hanging="284"/>
      </w:pPr>
      <w:rPr>
        <w:rFonts w:hint="default"/>
      </w:rPr>
    </w:lvl>
  </w:abstractNum>
  <w:abstractNum w:abstractNumId="2" w15:restartNumberingAfterBreak="0">
    <w:nsid w:val="2D137A4F"/>
    <w:multiLevelType w:val="hybridMultilevel"/>
    <w:tmpl w:val="ED9A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27A95"/>
    <w:multiLevelType w:val="hybridMultilevel"/>
    <w:tmpl w:val="0BE4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42653"/>
    <w:multiLevelType w:val="multilevel"/>
    <w:tmpl w:val="55DC2BC4"/>
    <w:numStyleLink w:val="ListBullets"/>
  </w:abstractNum>
  <w:abstractNum w:abstractNumId="5" w15:restartNumberingAfterBreak="0">
    <w:nsid w:val="39616E88"/>
    <w:multiLevelType w:val="hybridMultilevel"/>
    <w:tmpl w:val="35A4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087BBF"/>
    <w:multiLevelType w:val="hybridMultilevel"/>
    <w:tmpl w:val="3054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60A79"/>
    <w:multiLevelType w:val="hybridMultilevel"/>
    <w:tmpl w:val="0F22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0"/>
    <w:rsid w:val="000119E0"/>
    <w:rsid w:val="0003539C"/>
    <w:rsid w:val="00145CE6"/>
    <w:rsid w:val="001E5A96"/>
    <w:rsid w:val="002227AE"/>
    <w:rsid w:val="0026060D"/>
    <w:rsid w:val="00295FA8"/>
    <w:rsid w:val="0031148A"/>
    <w:rsid w:val="00393F8F"/>
    <w:rsid w:val="00464783"/>
    <w:rsid w:val="00495240"/>
    <w:rsid w:val="004E550B"/>
    <w:rsid w:val="00583456"/>
    <w:rsid w:val="005E10D8"/>
    <w:rsid w:val="006A4888"/>
    <w:rsid w:val="006C723D"/>
    <w:rsid w:val="00706C3F"/>
    <w:rsid w:val="0073146B"/>
    <w:rsid w:val="00782D0D"/>
    <w:rsid w:val="007A5131"/>
    <w:rsid w:val="007D6D19"/>
    <w:rsid w:val="0091504B"/>
    <w:rsid w:val="00954D74"/>
    <w:rsid w:val="009B60F8"/>
    <w:rsid w:val="00A17DAF"/>
    <w:rsid w:val="00A4343D"/>
    <w:rsid w:val="00A51A42"/>
    <w:rsid w:val="00A67965"/>
    <w:rsid w:val="00B16CE2"/>
    <w:rsid w:val="00B51CFC"/>
    <w:rsid w:val="00C174D3"/>
    <w:rsid w:val="00C264B6"/>
    <w:rsid w:val="00C678D1"/>
    <w:rsid w:val="00CE20E8"/>
    <w:rsid w:val="00CE29E3"/>
    <w:rsid w:val="00D027BF"/>
    <w:rsid w:val="00D45028"/>
    <w:rsid w:val="00DB7CD7"/>
    <w:rsid w:val="00E0244A"/>
    <w:rsid w:val="00E131D3"/>
    <w:rsid w:val="00E91DE5"/>
    <w:rsid w:val="00EB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B688A"/>
  <w15:chartTrackingRefBased/>
  <w15:docId w15:val="{B98384E9-DAC0-4800-8C20-5ECC5138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E0"/>
    <w:pPr>
      <w:spacing w:after="120"/>
    </w:pPr>
    <w:rPr>
      <w:sz w:val="20"/>
    </w:rPr>
  </w:style>
  <w:style w:type="paragraph" w:styleId="Heading1">
    <w:name w:val="heading 1"/>
    <w:basedOn w:val="Normal"/>
    <w:next w:val="Normal"/>
    <w:link w:val="Heading1Char"/>
    <w:uiPriority w:val="9"/>
    <w:qFormat/>
    <w:rsid w:val="006C72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qFormat/>
    <w:rsid w:val="000119E0"/>
    <w:pPr>
      <w:keepNext/>
      <w:keepLines/>
      <w:spacing w:line="216" w:lineRule="auto"/>
      <w:outlineLvl w:val="1"/>
    </w:pPr>
    <w:rPr>
      <w:rFonts w:asciiTheme="majorHAnsi" w:eastAsiaTheme="majorEastAsia" w:hAnsiTheme="majorHAnsi" w:cstheme="majorBidi"/>
      <w:b/>
      <w:bCs/>
      <w:color w:val="000000" w:themeColor="text1"/>
      <w:sz w:val="24"/>
      <w:szCs w:val="26"/>
      <w:lang w:val="en-GB"/>
    </w:rPr>
  </w:style>
  <w:style w:type="paragraph" w:styleId="Heading3">
    <w:name w:val="heading 3"/>
    <w:basedOn w:val="Normal"/>
    <w:next w:val="BodyText"/>
    <w:link w:val="Heading3Char"/>
    <w:uiPriority w:val="9"/>
    <w:qFormat/>
    <w:rsid w:val="000119E0"/>
    <w:pPr>
      <w:keepNext/>
      <w:keepLines/>
      <w:spacing w:line="216" w:lineRule="auto"/>
      <w:outlineLvl w:val="2"/>
    </w:pPr>
    <w:rPr>
      <w:rFonts w:asciiTheme="majorHAnsi" w:eastAsiaTheme="majorEastAsia" w:hAnsiTheme="majorHAnsi" w:cstheme="majorBidi"/>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9E0"/>
    <w:rPr>
      <w:rFonts w:asciiTheme="majorHAnsi" w:eastAsiaTheme="majorEastAsia" w:hAnsiTheme="majorHAnsi" w:cstheme="majorBidi"/>
      <w:b/>
      <w:bCs/>
      <w:color w:val="000000" w:themeColor="text1"/>
      <w:sz w:val="24"/>
      <w:szCs w:val="26"/>
      <w:lang w:val="en-GB"/>
    </w:rPr>
  </w:style>
  <w:style w:type="character" w:customStyle="1" w:styleId="Heading3Char">
    <w:name w:val="Heading 3 Char"/>
    <w:basedOn w:val="DefaultParagraphFont"/>
    <w:link w:val="Heading3"/>
    <w:uiPriority w:val="9"/>
    <w:rsid w:val="000119E0"/>
    <w:rPr>
      <w:rFonts w:asciiTheme="majorHAnsi" w:eastAsiaTheme="majorEastAsia" w:hAnsiTheme="majorHAnsi" w:cstheme="majorBidi"/>
      <w:b/>
      <w:bCs/>
      <w:color w:val="000000" w:themeColor="text1"/>
      <w:sz w:val="20"/>
      <w:lang w:val="en-GB"/>
    </w:rPr>
  </w:style>
  <w:style w:type="paragraph" w:styleId="BodyText">
    <w:name w:val="Body Text"/>
    <w:basedOn w:val="Normal"/>
    <w:link w:val="BodyTextChar"/>
    <w:uiPriority w:val="14"/>
    <w:qFormat/>
    <w:rsid w:val="000119E0"/>
    <w:pPr>
      <w:spacing w:line="240" w:lineRule="auto"/>
    </w:pPr>
    <w:rPr>
      <w:color w:val="000000" w:themeColor="text1"/>
      <w:lang w:val="en-GB"/>
    </w:rPr>
  </w:style>
  <w:style w:type="character" w:customStyle="1" w:styleId="BodyTextChar">
    <w:name w:val="Body Text Char"/>
    <w:basedOn w:val="DefaultParagraphFont"/>
    <w:link w:val="BodyText"/>
    <w:uiPriority w:val="14"/>
    <w:rsid w:val="000119E0"/>
    <w:rPr>
      <w:color w:val="000000" w:themeColor="text1"/>
      <w:sz w:val="20"/>
      <w:lang w:val="en-GB"/>
    </w:rPr>
  </w:style>
  <w:style w:type="paragraph" w:styleId="Title">
    <w:name w:val="Title"/>
    <w:basedOn w:val="Normal"/>
    <w:next w:val="Subtitle"/>
    <w:link w:val="TitleChar"/>
    <w:uiPriority w:val="30"/>
    <w:qFormat/>
    <w:rsid w:val="000119E0"/>
    <w:pPr>
      <w:keepNext/>
      <w:keepLines/>
      <w:spacing w:after="440" w:line="192" w:lineRule="auto"/>
      <w:contextualSpacing/>
    </w:pPr>
    <w:rPr>
      <w:rFonts w:asciiTheme="majorHAnsi" w:eastAsiaTheme="majorEastAsia" w:hAnsiTheme="majorHAnsi" w:cstheme="majorBidi"/>
      <w:b/>
      <w:color w:val="000000" w:themeColor="text1"/>
      <w:sz w:val="80"/>
      <w:szCs w:val="52"/>
      <w:lang w:val="en-GB"/>
    </w:rPr>
  </w:style>
  <w:style w:type="character" w:customStyle="1" w:styleId="TitleChar">
    <w:name w:val="Title Char"/>
    <w:basedOn w:val="DefaultParagraphFont"/>
    <w:link w:val="Title"/>
    <w:uiPriority w:val="30"/>
    <w:rsid w:val="000119E0"/>
    <w:rPr>
      <w:rFonts w:asciiTheme="majorHAnsi" w:eastAsiaTheme="majorEastAsia" w:hAnsiTheme="majorHAnsi" w:cstheme="majorBidi"/>
      <w:b/>
      <w:color w:val="000000" w:themeColor="text1"/>
      <w:sz w:val="80"/>
      <w:szCs w:val="52"/>
      <w:lang w:val="en-GB"/>
    </w:rPr>
  </w:style>
  <w:style w:type="paragraph" w:styleId="Subtitle">
    <w:name w:val="Subtitle"/>
    <w:basedOn w:val="Normal"/>
    <w:next w:val="BodyText"/>
    <w:link w:val="SubtitleChar"/>
    <w:uiPriority w:val="31"/>
    <w:qFormat/>
    <w:rsid w:val="000119E0"/>
    <w:pPr>
      <w:keepNext/>
      <w:keepLines/>
      <w:numPr>
        <w:ilvl w:val="1"/>
      </w:numPr>
      <w:spacing w:after="160" w:line="216" w:lineRule="auto"/>
    </w:pPr>
    <w:rPr>
      <w:rFonts w:asciiTheme="majorHAnsi" w:eastAsiaTheme="majorEastAsia" w:hAnsiTheme="majorHAnsi" w:cstheme="majorBidi"/>
      <w:b/>
      <w:iCs/>
      <w:color w:val="000000" w:themeColor="text1"/>
      <w:sz w:val="40"/>
      <w:szCs w:val="24"/>
      <w:lang w:val="en-GB"/>
    </w:rPr>
  </w:style>
  <w:style w:type="character" w:customStyle="1" w:styleId="SubtitleChar">
    <w:name w:val="Subtitle Char"/>
    <w:basedOn w:val="DefaultParagraphFont"/>
    <w:link w:val="Subtitle"/>
    <w:uiPriority w:val="31"/>
    <w:rsid w:val="000119E0"/>
    <w:rPr>
      <w:rFonts w:asciiTheme="majorHAnsi" w:eastAsiaTheme="majorEastAsia" w:hAnsiTheme="majorHAnsi" w:cstheme="majorBidi"/>
      <w:b/>
      <w:iCs/>
      <w:color w:val="000000" w:themeColor="text1"/>
      <w:sz w:val="40"/>
      <w:szCs w:val="24"/>
      <w:lang w:val="en-GB"/>
    </w:rPr>
  </w:style>
  <w:style w:type="numbering" w:customStyle="1" w:styleId="ListBullets">
    <w:name w:val="__List Bullets"/>
    <w:uiPriority w:val="99"/>
    <w:rsid w:val="000119E0"/>
    <w:pPr>
      <w:numPr>
        <w:numId w:val="1"/>
      </w:numPr>
    </w:pPr>
  </w:style>
  <w:style w:type="table" w:styleId="TableGrid">
    <w:name w:val="Table Grid"/>
    <w:basedOn w:val="TableNormal"/>
    <w:uiPriority w:val="39"/>
    <w:unhideWhenUsed/>
    <w:rsid w:val="000119E0"/>
    <w:pPr>
      <w:spacing w:after="0" w:line="240" w:lineRule="auto"/>
    </w:pPr>
    <w:rPr>
      <w:lang w:val="en-GB"/>
    </w:rPr>
    <w:tblPr>
      <w:tblCellMar>
        <w:left w:w="0" w:type="dxa"/>
        <w:right w:w="0" w:type="dxa"/>
      </w:tblCellMar>
    </w:tblPr>
  </w:style>
  <w:style w:type="paragraph" w:styleId="ListBullet">
    <w:name w:val="List Bullet"/>
    <w:basedOn w:val="BodyText"/>
    <w:uiPriority w:val="15"/>
    <w:qFormat/>
    <w:rsid w:val="000119E0"/>
    <w:pPr>
      <w:numPr>
        <w:numId w:val="2"/>
      </w:numPr>
      <w:contextualSpacing/>
    </w:pPr>
  </w:style>
  <w:style w:type="table" w:customStyle="1" w:styleId="CompuMarkTable">
    <w:name w:val="__CompuMark Table"/>
    <w:basedOn w:val="TableNormal"/>
    <w:uiPriority w:val="99"/>
    <w:rsid w:val="000119E0"/>
    <w:pPr>
      <w:spacing w:after="0" w:line="240" w:lineRule="auto"/>
    </w:pPr>
    <w:rPr>
      <w:sz w:val="20"/>
      <w:lang w:val="en-GB"/>
    </w:rPr>
    <w:tblPr>
      <w:tblBorders>
        <w:insideH w:val="single" w:sz="4" w:space="0" w:color="000000" w:themeColor="text1"/>
      </w:tblBorders>
      <w:tblCellMar>
        <w:top w:w="142" w:type="dxa"/>
        <w:left w:w="0" w:type="dxa"/>
        <w:bottom w:w="142" w:type="dxa"/>
        <w:right w:w="113" w:type="dxa"/>
      </w:tblCellMar>
    </w:tblPr>
    <w:tblStylePr w:type="firstRow">
      <w:tblPr/>
      <w:tcPr>
        <w:tcBorders>
          <w:top w:val="single" w:sz="4" w:space="0" w:color="44546A" w:themeColor="text2"/>
          <w:left w:val="nil"/>
          <w:bottom w:val="nil"/>
          <w:right w:val="nil"/>
          <w:insideH w:val="nil"/>
          <w:insideV w:val="nil"/>
          <w:tl2br w:val="nil"/>
          <w:tr2bl w:val="nil"/>
        </w:tcBorders>
      </w:tcPr>
    </w:tblStylePr>
  </w:style>
  <w:style w:type="paragraph" w:customStyle="1" w:styleId="TableTitle">
    <w:name w:val="Table Title"/>
    <w:basedOn w:val="Normal"/>
    <w:uiPriority w:val="18"/>
    <w:qFormat/>
    <w:rsid w:val="000119E0"/>
    <w:pPr>
      <w:pBdr>
        <w:top w:val="single" w:sz="4" w:space="6" w:color="44546A" w:themeColor="text2"/>
      </w:pBdr>
      <w:spacing w:line="240" w:lineRule="auto"/>
    </w:pPr>
    <w:rPr>
      <w:color w:val="000000" w:themeColor="text1"/>
      <w:lang w:val="en-GB"/>
    </w:rPr>
  </w:style>
  <w:style w:type="paragraph" w:customStyle="1" w:styleId="CoverHeading">
    <w:name w:val="Cover Heading"/>
    <w:basedOn w:val="Normal"/>
    <w:uiPriority w:val="33"/>
    <w:qFormat/>
    <w:rsid w:val="000119E0"/>
    <w:pPr>
      <w:keepNext/>
      <w:keepLines/>
      <w:spacing w:after="300" w:line="216" w:lineRule="auto"/>
    </w:pPr>
    <w:rPr>
      <w:rFonts w:asciiTheme="majorHAnsi" w:hAnsiTheme="majorHAnsi"/>
      <w:b/>
      <w:color w:val="000000" w:themeColor="text1"/>
      <w:lang w:val="en-GB"/>
    </w:rPr>
  </w:style>
  <w:style w:type="paragraph" w:styleId="Header">
    <w:name w:val="header"/>
    <w:basedOn w:val="Normal"/>
    <w:link w:val="HeaderChar"/>
    <w:uiPriority w:val="99"/>
    <w:semiHidden/>
    <w:rsid w:val="000119E0"/>
    <w:pPr>
      <w:spacing w:after="0" w:line="240" w:lineRule="auto"/>
    </w:pPr>
  </w:style>
  <w:style w:type="character" w:customStyle="1" w:styleId="HeaderChar">
    <w:name w:val="Header Char"/>
    <w:basedOn w:val="DefaultParagraphFont"/>
    <w:link w:val="Header"/>
    <w:uiPriority w:val="99"/>
    <w:semiHidden/>
    <w:rsid w:val="000119E0"/>
    <w:rPr>
      <w:sz w:val="20"/>
    </w:rPr>
  </w:style>
  <w:style w:type="paragraph" w:styleId="Footer">
    <w:name w:val="footer"/>
    <w:basedOn w:val="Normal"/>
    <w:link w:val="FooterChar"/>
    <w:uiPriority w:val="99"/>
    <w:rsid w:val="000119E0"/>
    <w:pPr>
      <w:tabs>
        <w:tab w:val="left" w:pos="0"/>
      </w:tabs>
      <w:spacing w:after="0" w:line="240" w:lineRule="auto"/>
      <w:ind w:left="-2381"/>
    </w:pPr>
  </w:style>
  <w:style w:type="character" w:customStyle="1" w:styleId="FooterChar">
    <w:name w:val="Footer Char"/>
    <w:basedOn w:val="DefaultParagraphFont"/>
    <w:link w:val="Footer"/>
    <w:uiPriority w:val="99"/>
    <w:rsid w:val="000119E0"/>
    <w:rPr>
      <w:sz w:val="20"/>
    </w:rPr>
  </w:style>
  <w:style w:type="character" w:styleId="Hyperlink">
    <w:name w:val="Hyperlink"/>
    <w:basedOn w:val="DefaultParagraphFont"/>
    <w:uiPriority w:val="99"/>
    <w:unhideWhenUsed/>
    <w:rsid w:val="000119E0"/>
    <w:rPr>
      <w:b/>
      <w:color w:val="000000" w:themeColor="text1"/>
      <w:u w:val="single"/>
    </w:rPr>
  </w:style>
  <w:style w:type="paragraph" w:customStyle="1" w:styleId="Default">
    <w:name w:val="Default"/>
    <w:rsid w:val="000119E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E0"/>
    <w:rPr>
      <w:rFonts w:ascii="Segoe UI" w:hAnsi="Segoe UI" w:cs="Segoe UI"/>
      <w:sz w:val="18"/>
      <w:szCs w:val="18"/>
    </w:rPr>
  </w:style>
  <w:style w:type="paragraph" w:styleId="ListParagraph">
    <w:name w:val="List Paragraph"/>
    <w:basedOn w:val="Normal"/>
    <w:uiPriority w:val="34"/>
    <w:qFormat/>
    <w:rsid w:val="000119E0"/>
    <w:pPr>
      <w:spacing w:after="0" w:line="240" w:lineRule="auto"/>
      <w:ind w:left="720"/>
    </w:pPr>
    <w:rPr>
      <w:rFonts w:ascii="Calibri" w:hAnsi="Calibri" w:cs="Calibri"/>
      <w:sz w:val="22"/>
    </w:rPr>
  </w:style>
  <w:style w:type="character" w:customStyle="1" w:styleId="Heading1Char">
    <w:name w:val="Heading 1 Char"/>
    <w:basedOn w:val="DefaultParagraphFont"/>
    <w:link w:val="Heading1"/>
    <w:uiPriority w:val="9"/>
    <w:rsid w:val="006C72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rivat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pumar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C52EC3754314E903F701FEDB9E77B" ma:contentTypeVersion="13" ma:contentTypeDescription="Create a new document." ma:contentTypeScope="" ma:versionID="5cdd50223c20b82d287e103cd535381c">
  <xsd:schema xmlns:xsd="http://www.w3.org/2001/XMLSchema" xmlns:xs="http://www.w3.org/2001/XMLSchema" xmlns:p="http://schemas.microsoft.com/office/2006/metadata/properties" xmlns:ns3="56fd10b8-a66a-4bc3-90ff-435865a4f2b3" xmlns:ns4="6c2f655e-4fe4-41bc-ac35-81eabaeff16e" targetNamespace="http://schemas.microsoft.com/office/2006/metadata/properties" ma:root="true" ma:fieldsID="b5eeca56fe6d9f49dd1db7a6e8a516c2" ns3:_="" ns4:_="">
    <xsd:import namespace="56fd10b8-a66a-4bc3-90ff-435865a4f2b3"/>
    <xsd:import namespace="6c2f655e-4fe4-41bc-ac35-81eabaeff1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d10b8-a66a-4bc3-90ff-435865a4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f655e-4fe4-41bc-ac35-81eabaeff1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7478E-4C8C-481A-A019-F335F6BC3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64E4B0-0B8F-43FE-9E1F-DC2FDBD85D0A}">
  <ds:schemaRefs>
    <ds:schemaRef ds:uri="http://schemas.microsoft.com/sharepoint/v3/contenttype/forms"/>
  </ds:schemaRefs>
</ds:datastoreItem>
</file>

<file path=customXml/itemProps3.xml><?xml version="1.0" encoding="utf-8"?>
<ds:datastoreItem xmlns:ds="http://schemas.openxmlformats.org/officeDocument/2006/customXml" ds:itemID="{0BDD9DDA-11AF-4278-8671-42E352305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d10b8-a66a-4bc3-90ff-435865a4f2b3"/>
    <ds:schemaRef ds:uri="6c2f655e-4fe4-41bc-ac35-81eabaeff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Rachael</dc:creator>
  <cp:keywords/>
  <dc:description/>
  <cp:lastModifiedBy>Volpe, Rachael</cp:lastModifiedBy>
  <cp:revision>18</cp:revision>
  <dcterms:created xsi:type="dcterms:W3CDTF">2019-12-27T16:09:00Z</dcterms:created>
  <dcterms:modified xsi:type="dcterms:W3CDTF">2019-12-27T18:24:00Z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0x0101004C1C52EC3754314E903F701FEDB9E77B</vt:lpwstr>
  </property>
</Properties>
</file>