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6022C" w14:textId="77777777" w:rsidR="000119E0" w:rsidRDefault="000119E0" w:rsidP="000119E0">
      <w:pPr>
        <w:pStyle w:val="Title"/>
        <w:spacing w:after="0"/>
        <w:rPr>
          <w:sz w:val="40"/>
        </w:rPr>
      </w:pPr>
    </w:p>
    <w:p w14:paraId="1D7E41C8" w14:textId="77777777" w:rsidR="000119E0" w:rsidRPr="000119E0" w:rsidRDefault="000119E0" w:rsidP="000119E0">
      <w:pPr>
        <w:jc w:val="both"/>
        <w:rPr>
          <w:rFonts w:eastAsia="Times New Roman"/>
          <w:i/>
        </w:rPr>
      </w:pPr>
      <w:r w:rsidRPr="000119E0">
        <w:rPr>
          <w:rFonts w:eastAsia="Times New Roman"/>
          <w:i/>
          <w:iCs/>
        </w:rPr>
        <w:t>This document is intended for CompuMark law firms and partners to build in their branded templates and share with their clients</w:t>
      </w:r>
    </w:p>
    <w:p w14:paraId="0FAE496F" w14:textId="77777777" w:rsidR="000119E0" w:rsidRPr="000119E0" w:rsidRDefault="000119E0" w:rsidP="000119E0">
      <w:pPr>
        <w:jc w:val="both"/>
        <w:rPr>
          <w:rFonts w:eastAsia="Times New Roman"/>
          <w:i/>
        </w:rPr>
      </w:pPr>
    </w:p>
    <w:p w14:paraId="2C43EE82" w14:textId="77777777" w:rsidR="000119E0" w:rsidRPr="000119E0" w:rsidRDefault="000119E0" w:rsidP="000119E0">
      <w:pPr>
        <w:jc w:val="both"/>
        <w:rPr>
          <w:rFonts w:eastAsia="Times New Roman"/>
          <w:i/>
        </w:rPr>
      </w:pPr>
      <w:proofErr w:type="gramStart"/>
      <w:r w:rsidRPr="000119E0">
        <w:rPr>
          <w:rFonts w:eastAsia="Times New Roman"/>
          <w:i/>
        </w:rPr>
        <w:t>As long as</w:t>
      </w:r>
      <w:proofErr w:type="gramEnd"/>
      <w:r w:rsidRPr="000119E0">
        <w:rPr>
          <w:rFonts w:eastAsia="Times New Roman"/>
          <w:i/>
        </w:rPr>
        <w:t xml:space="preserve"> the template is active on CompuMark’s Watch Resource Center, CompuMark Watch Customers may use this template to create a Customer branded document to share with their clients. Customer understands that they must check the Resource Center regularly to ensure the template is still in use and that Customer is using the most current version of the template.  Customer agrees that CompuMark may terminate permission to use the template at any time. </w:t>
      </w:r>
      <w:r>
        <w:rPr>
          <w:sz w:val="40"/>
        </w:rPr>
        <w:br w:type="page"/>
      </w:r>
    </w:p>
    <w:p w14:paraId="407C90CA" w14:textId="75385AC6" w:rsidR="001476D4" w:rsidRPr="001476D4" w:rsidRDefault="001476D4" w:rsidP="001476D4">
      <w:pPr>
        <w:rPr>
          <w:noProof/>
          <w:color w:val="000000" w:themeColor="text1"/>
          <w:lang w:val="en-GB"/>
        </w:rPr>
      </w:pPr>
      <w:r>
        <w:rPr>
          <w:sz w:val="28"/>
          <w:szCs w:val="28"/>
        </w:rPr>
        <w:lastRenderedPageBreak/>
        <w:t>Domain Solutions</w:t>
      </w:r>
    </w:p>
    <w:p w14:paraId="0CCE0EEF" w14:textId="6F170ED5" w:rsidR="000119E0" w:rsidRDefault="00956B24" w:rsidP="000119E0">
      <w:pPr>
        <w:pStyle w:val="Heading2"/>
        <w:rPr>
          <w:lang w:val="en-US"/>
        </w:rPr>
      </w:pPr>
      <w:r w:rsidRPr="00956B24">
        <w:rPr>
          <w:bCs w:val="0"/>
          <w:sz w:val="40"/>
          <w:szCs w:val="52"/>
        </w:rPr>
        <w:t>Build and protect strong online brands</w:t>
      </w:r>
    </w:p>
    <w:p w14:paraId="581FAD1B" w14:textId="77777777" w:rsidR="000119E0" w:rsidRPr="000119E0" w:rsidRDefault="000119E0" w:rsidP="000119E0">
      <w:pPr>
        <w:pStyle w:val="BodyText"/>
        <w:rPr>
          <w:lang w:val="en-US"/>
        </w:rPr>
        <w:sectPr w:rsidR="000119E0" w:rsidRPr="000119E0" w:rsidSect="000119E0">
          <w:footerReference w:type="default" r:id="rId10"/>
          <w:footerReference w:type="first" r:id="rId11"/>
          <w:pgSz w:w="12240" w:h="15840" w:code="1"/>
          <w:pgMar w:top="1440" w:right="1440" w:bottom="1440" w:left="1440" w:header="288" w:footer="792" w:gutter="0"/>
          <w:cols w:space="708"/>
          <w:titlePg/>
          <w:docGrid w:linePitch="360"/>
        </w:sectPr>
      </w:pPr>
    </w:p>
    <w:p w14:paraId="654E2667" w14:textId="127D3BE4" w:rsidR="00B87E0D" w:rsidRPr="00B87E0D" w:rsidRDefault="00B87E0D" w:rsidP="00B87E0D">
      <w:pPr>
        <w:pStyle w:val="Heading2"/>
        <w:spacing w:before="240"/>
        <w:rPr>
          <w:rFonts w:asciiTheme="minorHAnsi" w:eastAsiaTheme="minorHAnsi" w:hAnsiTheme="minorHAnsi" w:cstheme="minorBidi"/>
          <w:bCs w:val="0"/>
          <w:sz w:val="20"/>
          <w:szCs w:val="22"/>
        </w:rPr>
      </w:pPr>
      <w:r w:rsidRPr="00B87E0D">
        <w:rPr>
          <w:rFonts w:asciiTheme="minorHAnsi" w:eastAsiaTheme="minorHAnsi" w:hAnsiTheme="minorHAnsi" w:cstheme="minorBidi"/>
          <w:bCs w:val="0"/>
          <w:sz w:val="20"/>
          <w:szCs w:val="22"/>
        </w:rPr>
        <w:t>As the Web continues to grow as a core commercial channel, domain names are extremely valuable brand assets. Explosive growth in domain name registrations worldwide has made acquiring and pr</w:t>
      </w:r>
      <w:bookmarkStart w:id="0" w:name="_GoBack"/>
      <w:bookmarkEnd w:id="0"/>
      <w:r w:rsidRPr="00B87E0D">
        <w:rPr>
          <w:rFonts w:asciiTheme="minorHAnsi" w:eastAsiaTheme="minorHAnsi" w:hAnsiTheme="minorHAnsi" w:cstheme="minorBidi"/>
          <w:bCs w:val="0"/>
          <w:sz w:val="20"/>
          <w:szCs w:val="22"/>
        </w:rPr>
        <w:t xml:space="preserve">otecting domain names more challenging than ever. </w:t>
      </w:r>
      <w:r w:rsidR="005D53D1">
        <w:rPr>
          <w:rFonts w:asciiTheme="minorHAnsi" w:eastAsiaTheme="minorHAnsi" w:hAnsiTheme="minorHAnsi" w:cstheme="minorBidi"/>
          <w:bCs w:val="0"/>
          <w:sz w:val="20"/>
          <w:szCs w:val="22"/>
        </w:rPr>
        <w:t xml:space="preserve">Powered by </w:t>
      </w:r>
      <w:r w:rsidRPr="00B87E0D">
        <w:rPr>
          <w:rFonts w:asciiTheme="minorHAnsi" w:eastAsiaTheme="minorHAnsi" w:hAnsiTheme="minorHAnsi" w:cstheme="minorBidi"/>
          <w:bCs w:val="0"/>
          <w:sz w:val="20"/>
          <w:szCs w:val="22"/>
        </w:rPr>
        <w:t>CompuMark™</w:t>
      </w:r>
      <w:r w:rsidR="005D53D1">
        <w:rPr>
          <w:rFonts w:asciiTheme="minorHAnsi" w:eastAsiaTheme="minorHAnsi" w:hAnsiTheme="minorHAnsi" w:cstheme="minorBidi"/>
          <w:bCs w:val="0"/>
          <w:sz w:val="20"/>
          <w:szCs w:val="22"/>
        </w:rPr>
        <w:t xml:space="preserve">, </w:t>
      </w:r>
      <w:r w:rsidR="005D53D1" w:rsidRPr="005D53D1">
        <w:rPr>
          <w:rFonts w:asciiTheme="minorHAnsi" w:eastAsiaTheme="minorHAnsi" w:hAnsiTheme="minorHAnsi" w:cstheme="minorBidi"/>
          <w:bCs w:val="0"/>
          <w:color w:val="FF0000"/>
          <w:sz w:val="20"/>
          <w:szCs w:val="22"/>
        </w:rPr>
        <w:t xml:space="preserve">[Insert </w:t>
      </w:r>
      <w:r w:rsidR="00B5453C">
        <w:rPr>
          <w:rFonts w:asciiTheme="minorHAnsi" w:eastAsiaTheme="minorHAnsi" w:hAnsiTheme="minorHAnsi" w:cstheme="minorBidi"/>
          <w:bCs w:val="0"/>
          <w:color w:val="FF0000"/>
          <w:sz w:val="20"/>
          <w:szCs w:val="22"/>
        </w:rPr>
        <w:t xml:space="preserve">Law </w:t>
      </w:r>
      <w:r w:rsidR="005D53D1" w:rsidRPr="005D53D1">
        <w:rPr>
          <w:rFonts w:asciiTheme="minorHAnsi" w:eastAsiaTheme="minorHAnsi" w:hAnsiTheme="minorHAnsi" w:cstheme="minorBidi"/>
          <w:bCs w:val="0"/>
          <w:color w:val="FF0000"/>
          <w:sz w:val="20"/>
          <w:szCs w:val="22"/>
        </w:rPr>
        <w:t>Firm Name]</w:t>
      </w:r>
      <w:r w:rsidRPr="005D53D1">
        <w:rPr>
          <w:rFonts w:asciiTheme="minorHAnsi" w:eastAsiaTheme="minorHAnsi" w:hAnsiTheme="minorHAnsi" w:cstheme="minorBidi"/>
          <w:bCs w:val="0"/>
          <w:color w:val="FF0000"/>
          <w:sz w:val="20"/>
          <w:szCs w:val="22"/>
        </w:rPr>
        <w:t xml:space="preserve"> </w:t>
      </w:r>
      <w:r w:rsidRPr="00B87E0D">
        <w:rPr>
          <w:rFonts w:asciiTheme="minorHAnsi" w:eastAsiaTheme="minorHAnsi" w:hAnsiTheme="minorHAnsi" w:cstheme="minorBidi"/>
          <w:bCs w:val="0"/>
          <w:sz w:val="20"/>
          <w:szCs w:val="22"/>
        </w:rPr>
        <w:t>helps you meet the challenge with a comprehensive array of solutions for securing and safeguarding your precious domain names in today’s complex online landscape.</w:t>
      </w:r>
    </w:p>
    <w:p w14:paraId="71096C2D" w14:textId="54641DC7" w:rsidR="000119E0" w:rsidRPr="00B87E0D" w:rsidRDefault="00967EBB" w:rsidP="00B87E0D">
      <w:pPr>
        <w:pStyle w:val="Heading2"/>
        <w:spacing w:before="240"/>
        <w:rPr>
          <w:rStyle w:val="BodyTextChar"/>
          <w:rFonts w:asciiTheme="minorHAnsi" w:eastAsiaTheme="minorHAnsi" w:hAnsiTheme="minorHAnsi" w:cstheme="minorBidi"/>
          <w:b w:val="0"/>
          <w:bCs w:val="0"/>
          <w:szCs w:val="22"/>
        </w:rPr>
      </w:pPr>
      <w:r>
        <w:rPr>
          <w:rStyle w:val="BodyTextChar"/>
          <w:sz w:val="24"/>
        </w:rPr>
        <w:t>Domain Search Solutions</w:t>
      </w:r>
    </w:p>
    <w:p w14:paraId="71BA7413" w14:textId="77777777" w:rsidR="00731A53" w:rsidRPr="00731A53" w:rsidRDefault="00731A53" w:rsidP="00731A53">
      <w:pPr>
        <w:pStyle w:val="BodyText"/>
        <w:rPr>
          <w:b/>
        </w:rPr>
      </w:pPr>
      <w:r w:rsidRPr="00731A53">
        <w:rPr>
          <w:b/>
        </w:rPr>
        <w:t>Domain Name Search</w:t>
      </w:r>
    </w:p>
    <w:p w14:paraId="4063E61C" w14:textId="20790219" w:rsidR="00731A53" w:rsidRDefault="00731A53" w:rsidP="00731A53">
      <w:pPr>
        <w:pStyle w:val="BodyText"/>
      </w:pPr>
      <w:r>
        <w:t xml:space="preserve">When developing a new brand, determining the availability of domain names is a critical step in the clearance process. We make it easy, with </w:t>
      </w:r>
      <w:r w:rsidR="00C021DA">
        <w:t xml:space="preserve">CompuMark’s </w:t>
      </w:r>
      <w:r>
        <w:t>Domain Name Search coverage of more than 110 million gTLDs across the most commonly used extensions from all ICANN-accredited registrars, including: .aero, .biz, .cat, .com, .coop, .info, .</w:t>
      </w:r>
      <w:proofErr w:type="spellStart"/>
      <w:r>
        <w:t>mobi</w:t>
      </w:r>
      <w:proofErr w:type="spellEnd"/>
      <w:r>
        <w:t>, .name, .net, .org, .pro, .travel, .us.</w:t>
      </w:r>
    </w:p>
    <w:p w14:paraId="537F9B35" w14:textId="77777777" w:rsidR="00731A53" w:rsidRPr="00731A53" w:rsidRDefault="00731A53" w:rsidP="00296BB8">
      <w:pPr>
        <w:pStyle w:val="BodyText"/>
        <w:spacing w:before="240"/>
        <w:rPr>
          <w:b/>
        </w:rPr>
      </w:pPr>
      <w:r w:rsidRPr="00731A53">
        <w:rPr>
          <w:b/>
        </w:rPr>
        <w:t>ccTLD Search coverage</w:t>
      </w:r>
    </w:p>
    <w:p w14:paraId="755C4E7A" w14:textId="40B63D31" w:rsidR="00731A53" w:rsidRDefault="00731A53" w:rsidP="00731A53">
      <w:pPr>
        <w:pStyle w:val="BodyText"/>
      </w:pPr>
      <w:r>
        <w:t>In many markets, having a country code domain (ccTLD) provides crucial credibility. We help you avoid potential conflicts with ccTLD search coverage for more than 240 countries and registers – a total of more than 185 million domain names and 685 extensions.</w:t>
      </w:r>
    </w:p>
    <w:p w14:paraId="44988196" w14:textId="4297B442" w:rsidR="00731A53" w:rsidRPr="00296BB8" w:rsidRDefault="00731A53" w:rsidP="00731A53">
      <w:pPr>
        <w:pStyle w:val="BodyText"/>
      </w:pPr>
      <w:r>
        <w:t>Order a ccTLD Search with any Trademark Search or Domain Name Search, or as a stand-alone ccTLD Search.</w:t>
      </w:r>
    </w:p>
    <w:p w14:paraId="761CA126" w14:textId="0DCB2008" w:rsidR="00731A53" w:rsidRPr="00731A53" w:rsidRDefault="00731A53" w:rsidP="00296BB8">
      <w:pPr>
        <w:pStyle w:val="BodyText"/>
        <w:spacing w:before="240"/>
        <w:rPr>
          <w:b/>
        </w:rPr>
      </w:pPr>
      <w:r w:rsidRPr="00731A53">
        <w:rPr>
          <w:b/>
        </w:rPr>
        <w:t xml:space="preserve">Domain </w:t>
      </w:r>
      <w:proofErr w:type="spellStart"/>
      <w:r w:rsidRPr="00731A53">
        <w:rPr>
          <w:b/>
        </w:rPr>
        <w:t>Typosquatting</w:t>
      </w:r>
      <w:proofErr w:type="spellEnd"/>
      <w:r w:rsidRPr="00731A53">
        <w:rPr>
          <w:b/>
        </w:rPr>
        <w:t xml:space="preserve"> Search </w:t>
      </w:r>
    </w:p>
    <w:p w14:paraId="2FAFF550" w14:textId="41E69E89" w:rsidR="00731A53" w:rsidRDefault="00731A53" w:rsidP="00731A53">
      <w:pPr>
        <w:pStyle w:val="BodyText"/>
      </w:pPr>
      <w:proofErr w:type="spellStart"/>
      <w:r>
        <w:t>Typosquatting</w:t>
      </w:r>
      <w:proofErr w:type="spellEnd"/>
      <w:r>
        <w:t xml:space="preserve">, the practice of registering domain names that are intentional misspellings of website addresses to redirect traffic, can be devastating to your brand and business. </w:t>
      </w:r>
      <w:r w:rsidR="00D0442E">
        <w:t>CompuMark’s</w:t>
      </w:r>
      <w:r>
        <w:t xml:space="preserve"> gTLD Domain </w:t>
      </w:r>
      <w:proofErr w:type="spellStart"/>
      <w:r>
        <w:t>Typosquatting</w:t>
      </w:r>
      <w:proofErr w:type="spellEnd"/>
      <w:r>
        <w:t xml:space="preserve"> Search provides the information needed to assess and manage the risk to your existing or proposed mark.</w:t>
      </w:r>
    </w:p>
    <w:p w14:paraId="5E58C560" w14:textId="5CBA3375" w:rsidR="00314016" w:rsidRPr="002C4F25" w:rsidRDefault="00731A53" w:rsidP="002C4F25">
      <w:pPr>
        <w:pStyle w:val="BodyText"/>
        <w:rPr>
          <w:rStyle w:val="BodyTextChar"/>
        </w:rPr>
      </w:pPr>
      <w:r>
        <w:t xml:space="preserve">We search numerous domain name variants commonly used by </w:t>
      </w:r>
      <w:proofErr w:type="spellStart"/>
      <w:r>
        <w:t>typosquatters</w:t>
      </w:r>
      <w:proofErr w:type="spellEnd"/>
      <w:r>
        <w:t>, identifying both registered and unregistered domain names of interest – valuable insight for your online brand protection strategy.</w:t>
      </w:r>
    </w:p>
    <w:p w14:paraId="3E6EF7A2" w14:textId="7263163B" w:rsidR="00296BB8" w:rsidRPr="00314016" w:rsidRDefault="00296BB8" w:rsidP="00296BB8">
      <w:pPr>
        <w:pStyle w:val="Heading2"/>
        <w:spacing w:before="240"/>
        <w:rPr>
          <w:rStyle w:val="BodyTextChar"/>
          <w:sz w:val="24"/>
        </w:rPr>
      </w:pPr>
      <w:r>
        <w:rPr>
          <w:rStyle w:val="BodyTextChar"/>
          <w:sz w:val="24"/>
        </w:rPr>
        <w:t>Domain Watch Solutions</w:t>
      </w:r>
    </w:p>
    <w:p w14:paraId="569E5D3E" w14:textId="77777777" w:rsidR="001D7223" w:rsidRDefault="001D7223" w:rsidP="00296BB8">
      <w:pPr>
        <w:pStyle w:val="BodyText"/>
        <w:rPr>
          <w:b/>
        </w:rPr>
      </w:pPr>
      <w:r w:rsidRPr="001D7223">
        <w:rPr>
          <w:b/>
        </w:rPr>
        <w:t>New gTLD Watch coverage</w:t>
      </w:r>
    </w:p>
    <w:p w14:paraId="1AA648A7" w14:textId="77777777" w:rsidR="001F30C4" w:rsidRDefault="001F30C4" w:rsidP="00314016">
      <w:pPr>
        <w:pStyle w:val="BodyText"/>
      </w:pPr>
      <w:r>
        <w:t>The influx of new gTLDs have created a new source of potential online infringements. Make sure your brand protection strategy covers this threat by adding New gTLD Watch Coverage to any gTLD Domain Name Watch. We alert you when a watched name is registered as a New gTLD, so you can take swift action to prevent potential revenue loss and protect your brand’s reputation.</w:t>
      </w:r>
    </w:p>
    <w:p w14:paraId="5FBA7AD3" w14:textId="77777777" w:rsidR="00314016" w:rsidRPr="00314016" w:rsidRDefault="00314016" w:rsidP="00314016">
      <w:pPr>
        <w:pStyle w:val="Heading2"/>
        <w:rPr>
          <w:rFonts w:asciiTheme="minorHAnsi" w:eastAsiaTheme="minorHAnsi" w:hAnsiTheme="minorHAnsi" w:cstheme="minorBidi"/>
          <w:bCs w:val="0"/>
          <w:sz w:val="20"/>
          <w:szCs w:val="22"/>
        </w:rPr>
      </w:pPr>
      <w:r w:rsidRPr="00314016">
        <w:rPr>
          <w:rFonts w:asciiTheme="minorHAnsi" w:eastAsiaTheme="minorHAnsi" w:hAnsiTheme="minorHAnsi" w:cstheme="minorBidi"/>
          <w:bCs w:val="0"/>
          <w:sz w:val="20"/>
          <w:szCs w:val="22"/>
        </w:rPr>
        <w:t>Domain Name Watch</w:t>
      </w:r>
    </w:p>
    <w:p w14:paraId="1006C0C2" w14:textId="7780A5CE" w:rsidR="00314016" w:rsidRPr="00314016" w:rsidRDefault="00314016" w:rsidP="002C4F25">
      <w:pPr>
        <w:pStyle w:val="BodyText"/>
      </w:pPr>
      <w:r w:rsidRPr="00314016">
        <w:t xml:space="preserve">Is someone using a domain name confusingly </w:t>
      </w:r>
      <w:proofErr w:type="gramStart"/>
      <w:r w:rsidRPr="00314016">
        <w:t>similar to</w:t>
      </w:r>
      <w:proofErr w:type="gramEnd"/>
      <w:r w:rsidRPr="00314016">
        <w:t xml:space="preserve"> yours? Identify “copycat” domains quickly with </w:t>
      </w:r>
      <w:r w:rsidR="00D86AA4">
        <w:t>CompuMark’s</w:t>
      </w:r>
      <w:r w:rsidRPr="00314016">
        <w:t xml:space="preserve"> Domain Name Watch. We watch your domain name each week against our comprehensive gTLD database, helping you pinpoint names identical to your trademark or closely identical to your brand or domain name.</w:t>
      </w:r>
      <w:r>
        <w:t xml:space="preserve"> </w:t>
      </w:r>
      <w:r w:rsidRPr="00314016">
        <w:t>Coverage includes: .aero, .biz, .cat, .com,</w:t>
      </w:r>
      <w:r>
        <w:t xml:space="preserve"> </w:t>
      </w:r>
      <w:r w:rsidRPr="00314016">
        <w:t>.coop, .info, .</w:t>
      </w:r>
      <w:proofErr w:type="spellStart"/>
      <w:r w:rsidRPr="00314016">
        <w:t>mobi</w:t>
      </w:r>
      <w:proofErr w:type="spellEnd"/>
      <w:r w:rsidRPr="00314016">
        <w:t>, .name, .net, .org, .pro,</w:t>
      </w:r>
      <w:r>
        <w:t xml:space="preserve"> </w:t>
      </w:r>
      <w:r w:rsidRPr="00314016">
        <w:t>.travel, .us.</w:t>
      </w:r>
    </w:p>
    <w:p w14:paraId="6E1D8B58" w14:textId="77777777" w:rsidR="00314016" w:rsidRPr="00314016" w:rsidRDefault="00314016" w:rsidP="00314016">
      <w:pPr>
        <w:pStyle w:val="Heading2"/>
        <w:rPr>
          <w:rFonts w:asciiTheme="minorHAnsi" w:eastAsiaTheme="minorHAnsi" w:hAnsiTheme="minorHAnsi" w:cstheme="minorBidi"/>
          <w:bCs w:val="0"/>
          <w:sz w:val="20"/>
          <w:szCs w:val="22"/>
        </w:rPr>
      </w:pPr>
      <w:r w:rsidRPr="00314016">
        <w:rPr>
          <w:rFonts w:asciiTheme="minorHAnsi" w:eastAsiaTheme="minorHAnsi" w:hAnsiTheme="minorHAnsi" w:cstheme="minorBidi"/>
          <w:bCs w:val="0"/>
          <w:sz w:val="20"/>
          <w:szCs w:val="22"/>
        </w:rPr>
        <w:t>ccTLD Watch coverage</w:t>
      </w:r>
    </w:p>
    <w:p w14:paraId="52FFC7C8" w14:textId="0E5F7430" w:rsidR="00314016" w:rsidRPr="00314016" w:rsidRDefault="00314016" w:rsidP="00314016">
      <w:pPr>
        <w:pStyle w:val="BodyText"/>
      </w:pPr>
      <w:r w:rsidRPr="00314016">
        <w:t>In the global online marketplace, watching country code TLDs for potential infringers is essential. We make it easy, with ccTLD</w:t>
      </w:r>
      <w:r>
        <w:t xml:space="preserve"> </w:t>
      </w:r>
      <w:r w:rsidRPr="00314016">
        <w:t>watch coverage for more than 240 countries and registers. Order a ccTLD Watch with any Trademark Watch or Domain Name Watch, or as a stand-alone ccTLD Watch</w:t>
      </w:r>
      <w:r>
        <w:t>.</w:t>
      </w:r>
    </w:p>
    <w:p w14:paraId="70C287B3" w14:textId="77777777" w:rsidR="002C4F25" w:rsidRDefault="00314016" w:rsidP="002C4F25">
      <w:pPr>
        <w:pStyle w:val="BodyText"/>
        <w:sectPr w:rsidR="002C4F25" w:rsidSect="00314016">
          <w:footerReference w:type="first" r:id="rId12"/>
          <w:type w:val="continuous"/>
          <w:pgSz w:w="12240" w:h="15840" w:code="1"/>
          <w:pgMar w:top="1440" w:right="1440" w:bottom="1440" w:left="1440" w:header="288" w:footer="792" w:gutter="0"/>
          <w:cols w:space="144"/>
          <w:titlePg/>
          <w:docGrid w:linePitch="360"/>
        </w:sectPr>
      </w:pPr>
      <w:r w:rsidRPr="00314016">
        <w:t>Want combined gTLD and ccTLD coverage? Order our Domain Watch Premium for a comprehensive view.</w:t>
      </w:r>
    </w:p>
    <w:p w14:paraId="33E8DE65" w14:textId="1AB6C57A" w:rsidR="00314016" w:rsidRPr="002C4F25" w:rsidRDefault="00314016" w:rsidP="002C4F25">
      <w:pPr>
        <w:pStyle w:val="BodyText"/>
        <w:rPr>
          <w:b/>
        </w:rPr>
      </w:pPr>
      <w:r w:rsidRPr="002C4F25">
        <w:rPr>
          <w:b/>
        </w:rPr>
        <w:lastRenderedPageBreak/>
        <w:t xml:space="preserve">Domain </w:t>
      </w:r>
      <w:proofErr w:type="spellStart"/>
      <w:r w:rsidRPr="002C4F25">
        <w:rPr>
          <w:b/>
        </w:rPr>
        <w:t>Typosquatting</w:t>
      </w:r>
      <w:proofErr w:type="spellEnd"/>
      <w:r w:rsidRPr="002C4F25">
        <w:rPr>
          <w:b/>
        </w:rPr>
        <w:t xml:space="preserve"> Watch </w:t>
      </w:r>
    </w:p>
    <w:p w14:paraId="4E264789" w14:textId="0F8DDFB2" w:rsidR="00314016" w:rsidRPr="00314016" w:rsidRDefault="00314016" w:rsidP="00314016">
      <w:pPr>
        <w:pStyle w:val="BodyText"/>
      </w:pPr>
      <w:proofErr w:type="spellStart"/>
      <w:r w:rsidRPr="00314016">
        <w:t>Typosquatters</w:t>
      </w:r>
      <w:proofErr w:type="spellEnd"/>
      <w:r w:rsidRPr="00314016">
        <w:t xml:space="preserve"> are continually at work, registering misspelled domain names to divert traffic – or worse. Protect your brand, with </w:t>
      </w:r>
      <w:r w:rsidR="003040E2">
        <w:t>a</w:t>
      </w:r>
      <w:r w:rsidRPr="00314016">
        <w:t xml:space="preserve"> gTLD Domain </w:t>
      </w:r>
      <w:proofErr w:type="spellStart"/>
      <w:r w:rsidRPr="00314016">
        <w:t>Typosquatting</w:t>
      </w:r>
      <w:proofErr w:type="spellEnd"/>
      <w:r w:rsidRPr="00314016">
        <w:t xml:space="preserve"> Watch. We watch for misspelled variants of your domain names, alerting you to domains that may pose a threat. You receive the insight needed to better understand the risks, or to take legal action to defend your brand assets.</w:t>
      </w:r>
    </w:p>
    <w:p w14:paraId="2D93390C" w14:textId="77777777" w:rsidR="00314016" w:rsidRPr="00314016" w:rsidRDefault="00314016" w:rsidP="00314016">
      <w:pPr>
        <w:pStyle w:val="Heading2"/>
        <w:spacing w:before="240"/>
        <w:rPr>
          <w:rFonts w:asciiTheme="minorHAnsi" w:eastAsiaTheme="minorHAnsi" w:hAnsiTheme="minorHAnsi" w:cstheme="minorBidi"/>
          <w:bCs w:val="0"/>
          <w:sz w:val="20"/>
          <w:szCs w:val="22"/>
        </w:rPr>
      </w:pPr>
      <w:r w:rsidRPr="00314016">
        <w:rPr>
          <w:rFonts w:asciiTheme="minorHAnsi" w:eastAsiaTheme="minorHAnsi" w:hAnsiTheme="minorHAnsi" w:cstheme="minorBidi"/>
          <w:bCs w:val="0"/>
          <w:sz w:val="20"/>
          <w:szCs w:val="22"/>
        </w:rPr>
        <w:t>Web Watch Service</w:t>
      </w:r>
    </w:p>
    <w:p w14:paraId="1C5E6936" w14:textId="73C4CDF0" w:rsidR="00314016" w:rsidRPr="00314016" w:rsidRDefault="00314016" w:rsidP="00314016">
      <w:pPr>
        <w:pStyle w:val="BodyText"/>
      </w:pPr>
      <w:r w:rsidRPr="00314016">
        <w:t>Domain names aren’t the only brand assets that demand protection online – so do trademarks.</w:t>
      </w:r>
    </w:p>
    <w:p w14:paraId="7FF49CFD" w14:textId="4A7B9E55" w:rsidR="00314016" w:rsidRPr="00314016" w:rsidRDefault="00314016" w:rsidP="00314016">
      <w:pPr>
        <w:pStyle w:val="BodyText"/>
      </w:pPr>
      <w:r w:rsidRPr="00314016">
        <w:t xml:space="preserve">Safeguard your brand with </w:t>
      </w:r>
      <w:r w:rsidR="007F4723">
        <w:t>a</w:t>
      </w:r>
      <w:r w:rsidRPr="00314016">
        <w:t xml:space="preserve"> Web Watch Service. </w:t>
      </w:r>
      <w:r w:rsidR="007F4723">
        <w:t>Using CompuMark trusted products, we</w:t>
      </w:r>
      <w:r w:rsidRPr="00314016">
        <w:t xml:space="preserve"> watch for a variety of uses</w:t>
      </w:r>
      <w:r>
        <w:t xml:space="preserve"> </w:t>
      </w:r>
      <w:r w:rsidRPr="00314016">
        <w:t>that could threaten your brand equity – from brand misuse and unlicensed use to derogatory remarks and confusingly similar brands. You receive concise, actionable reports with the results that matter most, saving you time and effort.</w:t>
      </w:r>
    </w:p>
    <w:p w14:paraId="7B02C53F" w14:textId="4D9B1A89" w:rsidR="00314016" w:rsidRDefault="00314016" w:rsidP="00314016">
      <w:pPr>
        <w:pStyle w:val="Heading2"/>
        <w:rPr>
          <w:rFonts w:asciiTheme="minorHAnsi" w:eastAsiaTheme="minorHAnsi" w:hAnsiTheme="minorHAnsi" w:cstheme="minorBidi"/>
          <w:bCs w:val="0"/>
          <w:sz w:val="20"/>
          <w:szCs w:val="22"/>
        </w:rPr>
      </w:pPr>
    </w:p>
    <w:p w14:paraId="096AFEAA" w14:textId="3E14AC40" w:rsidR="00F937D8" w:rsidRPr="00F937D8" w:rsidRDefault="00F937D8" w:rsidP="00F937D8">
      <w:pPr>
        <w:pStyle w:val="Heading2"/>
        <w:spacing w:before="240"/>
        <w:rPr>
          <w:rStyle w:val="BodyTextChar"/>
          <w:sz w:val="24"/>
          <w:lang w:val="en-US"/>
        </w:rPr>
      </w:pPr>
      <w:r w:rsidRPr="00F937D8">
        <w:rPr>
          <w:rStyle w:val="BodyTextChar"/>
          <w:sz w:val="24"/>
          <w:lang w:val="en-US"/>
        </w:rPr>
        <w:t xml:space="preserve">Why trust </w:t>
      </w:r>
      <w:r w:rsidR="007F4723" w:rsidRPr="007F4723">
        <w:rPr>
          <w:rStyle w:val="BodyTextChar"/>
          <w:color w:val="FF0000"/>
          <w:sz w:val="24"/>
          <w:lang w:val="en-US"/>
        </w:rPr>
        <w:t>[Insert</w:t>
      </w:r>
      <w:r w:rsidR="00B5453C">
        <w:rPr>
          <w:rStyle w:val="BodyTextChar"/>
          <w:color w:val="FF0000"/>
          <w:sz w:val="24"/>
          <w:lang w:val="en-US"/>
        </w:rPr>
        <w:t xml:space="preserve"> Law</w:t>
      </w:r>
      <w:r w:rsidR="007F4723" w:rsidRPr="007F4723">
        <w:rPr>
          <w:rStyle w:val="BodyTextChar"/>
          <w:color w:val="FF0000"/>
          <w:sz w:val="24"/>
          <w:lang w:val="en-US"/>
        </w:rPr>
        <w:t xml:space="preserve"> Firm </w:t>
      </w:r>
      <w:r w:rsidR="00B5453C">
        <w:rPr>
          <w:rStyle w:val="BodyTextChar"/>
          <w:color w:val="FF0000"/>
          <w:sz w:val="24"/>
          <w:lang w:val="en-US"/>
        </w:rPr>
        <w:t>N</w:t>
      </w:r>
      <w:r w:rsidR="007F4723" w:rsidRPr="007F4723">
        <w:rPr>
          <w:rStyle w:val="BodyTextChar"/>
          <w:color w:val="FF0000"/>
          <w:sz w:val="24"/>
          <w:lang w:val="en-US"/>
        </w:rPr>
        <w:t xml:space="preserve">ame] </w:t>
      </w:r>
      <w:r w:rsidR="007F4723">
        <w:rPr>
          <w:rStyle w:val="BodyTextChar"/>
          <w:sz w:val="24"/>
          <w:lang w:val="en-US"/>
        </w:rPr>
        <w:t>powered by CompuMark</w:t>
      </w:r>
      <w:r w:rsidRPr="00F937D8">
        <w:rPr>
          <w:rStyle w:val="BodyTextChar"/>
          <w:sz w:val="24"/>
          <w:lang w:val="en-US"/>
        </w:rPr>
        <w:t xml:space="preserve"> with your online brand?</w:t>
      </w:r>
    </w:p>
    <w:p w14:paraId="089F45A9" w14:textId="5D5239F8" w:rsidR="00F937D8" w:rsidRPr="00F937D8" w:rsidRDefault="00F937D8" w:rsidP="00F937D8">
      <w:pPr>
        <w:pStyle w:val="BodyText"/>
        <w:numPr>
          <w:ilvl w:val="0"/>
          <w:numId w:val="4"/>
        </w:numPr>
        <w:rPr>
          <w:lang w:val="en-US"/>
        </w:rPr>
      </w:pPr>
      <w:r w:rsidRPr="00F937D8">
        <w:rPr>
          <w:lang w:val="en-US"/>
        </w:rPr>
        <w:t>Industry-leading technology to pinpoint the most relevant results</w:t>
      </w:r>
    </w:p>
    <w:p w14:paraId="73031621" w14:textId="7C39DC2A" w:rsidR="00F937D8" w:rsidRPr="00F937D8" w:rsidRDefault="00F937D8" w:rsidP="00F937D8">
      <w:pPr>
        <w:pStyle w:val="BodyText"/>
        <w:numPr>
          <w:ilvl w:val="0"/>
          <w:numId w:val="4"/>
        </w:numPr>
        <w:rPr>
          <w:lang w:val="en-US"/>
        </w:rPr>
      </w:pPr>
      <w:r w:rsidRPr="00F937D8">
        <w:rPr>
          <w:lang w:val="en-US"/>
        </w:rPr>
        <w:t>Clear, actionable reports that save you time</w:t>
      </w:r>
    </w:p>
    <w:p w14:paraId="5255D4CE" w14:textId="0B44B9F1" w:rsidR="00F937D8" w:rsidRPr="00F937D8" w:rsidRDefault="00F937D8" w:rsidP="00F937D8">
      <w:pPr>
        <w:pStyle w:val="BodyText"/>
        <w:numPr>
          <w:ilvl w:val="0"/>
          <w:numId w:val="4"/>
        </w:numPr>
        <w:rPr>
          <w:lang w:val="en-US"/>
        </w:rPr>
      </w:pPr>
      <w:r w:rsidRPr="00F937D8">
        <w:rPr>
          <w:lang w:val="en-US"/>
        </w:rPr>
        <w:t>Superlative service from the industry’s most trusted search and watch partner.</w:t>
      </w:r>
    </w:p>
    <w:p w14:paraId="2A3C7C9C" w14:textId="77777777" w:rsidR="00F937D8" w:rsidRPr="00F937D8" w:rsidRDefault="00F937D8" w:rsidP="00F937D8">
      <w:pPr>
        <w:pStyle w:val="BodyText"/>
      </w:pPr>
    </w:p>
    <w:p w14:paraId="6CC92069" w14:textId="66378554" w:rsidR="000119E0" w:rsidRPr="00B2576B" w:rsidRDefault="000119E0" w:rsidP="00314016">
      <w:pPr>
        <w:pStyle w:val="Heading2"/>
      </w:pPr>
      <w:r w:rsidRPr="00B2576B">
        <w:t xml:space="preserve">Contact </w:t>
      </w:r>
      <w:r>
        <w:t>i</w:t>
      </w:r>
      <w:r w:rsidRPr="00B2576B">
        <w:t xml:space="preserve">nformation </w:t>
      </w:r>
    </w:p>
    <w:p w14:paraId="7AED4A96" w14:textId="77777777" w:rsidR="000119E0" w:rsidRDefault="000119E0" w:rsidP="000119E0">
      <w:pPr>
        <w:pStyle w:val="BodyText"/>
        <w:sectPr w:rsidR="000119E0" w:rsidSect="002C4F25">
          <w:pgSz w:w="12240" w:h="15840" w:code="1"/>
          <w:pgMar w:top="1440" w:right="1440" w:bottom="1440" w:left="1440" w:header="288" w:footer="792" w:gutter="0"/>
          <w:cols w:space="144"/>
          <w:titlePg/>
          <w:docGrid w:linePitch="360"/>
        </w:sectPr>
      </w:pPr>
    </w:p>
    <w:p w14:paraId="7C5352CD" w14:textId="77777777" w:rsidR="000119E0" w:rsidRPr="000119E0" w:rsidRDefault="000119E0" w:rsidP="000119E0">
      <w:pPr>
        <w:pStyle w:val="BodyText"/>
      </w:pPr>
      <w:r w:rsidRPr="00B2576B">
        <w:t xml:space="preserve">To request an International Business Name Watch, please </w:t>
      </w:r>
      <w:r>
        <w:t xml:space="preserve">contact </w:t>
      </w:r>
      <w:r w:rsidRPr="000119E0">
        <w:rPr>
          <w:color w:val="FF0000"/>
        </w:rPr>
        <w:t xml:space="preserve">[Insert Law Firm Name] </w:t>
      </w:r>
      <w:r w:rsidRPr="00B2576B">
        <w:t>today.</w:t>
      </w:r>
    </w:p>
    <w:p w14:paraId="239C7B7C" w14:textId="77777777" w:rsidR="000119E0" w:rsidRPr="00741A8F" w:rsidRDefault="000119E0" w:rsidP="000119E0">
      <w:pPr>
        <w:pStyle w:val="BodyText"/>
        <w:spacing w:after="0"/>
        <w:rPr>
          <w:sz w:val="18"/>
        </w:rPr>
      </w:pPr>
    </w:p>
    <w:p w14:paraId="453A0502" w14:textId="77777777" w:rsidR="000119E0" w:rsidRPr="00741A8F" w:rsidRDefault="00B5453C" w:rsidP="000119E0">
      <w:pPr>
        <w:pStyle w:val="BodyText"/>
        <w:spacing w:after="0"/>
        <w:rPr>
          <w:sz w:val="18"/>
        </w:rPr>
      </w:pPr>
      <w:hyperlink r:id="rId13" w:history="1">
        <w:r w:rsidR="000119E0" w:rsidRPr="00741A8F">
          <w:rPr>
            <w:rStyle w:val="Hyperlink"/>
            <w:sz w:val="18"/>
          </w:rPr>
          <w:t>compumark.com</w:t>
        </w:r>
      </w:hyperlink>
    </w:p>
    <w:p w14:paraId="5DDF0A12" w14:textId="77777777" w:rsidR="000119E0" w:rsidRDefault="00B5453C" w:rsidP="000119E0">
      <w:pPr>
        <w:pStyle w:val="BodyText"/>
        <w:spacing w:after="0"/>
        <w:sectPr w:rsidR="000119E0" w:rsidSect="000119E0">
          <w:type w:val="continuous"/>
          <w:pgSz w:w="12240" w:h="15840" w:code="1"/>
          <w:pgMar w:top="1440" w:right="1440" w:bottom="1440" w:left="1440" w:header="288" w:footer="792" w:gutter="0"/>
          <w:cols w:space="144"/>
          <w:titlePg/>
          <w:docGrid w:linePitch="360"/>
        </w:sectPr>
      </w:pPr>
      <w:hyperlink r:id="rId14" w:history="1">
        <w:r w:rsidR="000119E0" w:rsidRPr="00741A8F">
          <w:rPr>
            <w:rStyle w:val="Hyperlink"/>
            <w:sz w:val="18"/>
          </w:rPr>
          <w:t>clarivate.com</w:t>
        </w:r>
      </w:hyperlink>
    </w:p>
    <w:p w14:paraId="50924767" w14:textId="77777777" w:rsidR="000119E0" w:rsidRDefault="000119E0" w:rsidP="000119E0">
      <w:pPr>
        <w:pStyle w:val="BodyText"/>
      </w:pPr>
    </w:p>
    <w:p w14:paraId="16CA25B8" w14:textId="77777777" w:rsidR="000119E0" w:rsidRDefault="000119E0" w:rsidP="000119E0">
      <w:pPr>
        <w:sectPr w:rsidR="000119E0" w:rsidSect="000119E0">
          <w:type w:val="continuous"/>
          <w:pgSz w:w="12240" w:h="15840" w:code="1"/>
          <w:pgMar w:top="1440" w:right="1440" w:bottom="1440" w:left="1440" w:header="288" w:footer="792" w:gutter="0"/>
          <w:cols w:space="708"/>
          <w:titlePg/>
          <w:docGrid w:linePitch="360"/>
        </w:sectPr>
      </w:pPr>
    </w:p>
    <w:p w14:paraId="6415BB83" w14:textId="77777777" w:rsidR="000119E0" w:rsidRDefault="000119E0" w:rsidP="000119E0">
      <w:pPr>
        <w:sectPr w:rsidR="000119E0" w:rsidSect="000119E0">
          <w:type w:val="continuous"/>
          <w:pgSz w:w="12240" w:h="15840" w:code="1"/>
          <w:pgMar w:top="1440" w:right="1440" w:bottom="1440" w:left="1440" w:header="288" w:footer="792" w:gutter="0"/>
          <w:cols w:space="708"/>
          <w:titlePg/>
          <w:docGrid w:linePitch="360"/>
        </w:sectPr>
      </w:pPr>
    </w:p>
    <w:p w14:paraId="30C78F38" w14:textId="77777777" w:rsidR="000119E0" w:rsidRDefault="000119E0" w:rsidP="000119E0">
      <w:pPr>
        <w:tabs>
          <w:tab w:val="left" w:pos="1325"/>
          <w:tab w:val="left" w:pos="2016"/>
        </w:tabs>
      </w:pPr>
      <w:r>
        <w:tab/>
      </w:r>
    </w:p>
    <w:p w14:paraId="72CE3022" w14:textId="77777777" w:rsidR="000119E0" w:rsidRPr="001668F4" w:rsidRDefault="000119E0" w:rsidP="000119E0"/>
    <w:p w14:paraId="6B196B8E" w14:textId="77777777" w:rsidR="000119E0" w:rsidRPr="001668F4" w:rsidRDefault="000119E0" w:rsidP="000119E0"/>
    <w:p w14:paraId="4940134F" w14:textId="77777777" w:rsidR="000119E0" w:rsidRPr="001668F4" w:rsidRDefault="000119E0" w:rsidP="000119E0"/>
    <w:p w14:paraId="3A3186C1" w14:textId="77777777" w:rsidR="000119E0" w:rsidRPr="001668F4" w:rsidRDefault="000119E0" w:rsidP="000119E0">
      <w:pPr>
        <w:tabs>
          <w:tab w:val="left" w:pos="1515"/>
        </w:tabs>
      </w:pPr>
      <w:r>
        <w:tab/>
      </w:r>
    </w:p>
    <w:p w14:paraId="190B77C7" w14:textId="77777777" w:rsidR="006D4AB6" w:rsidRDefault="00B5453C"/>
    <w:sectPr w:rsidR="006D4AB6" w:rsidSect="000119E0">
      <w:type w:val="continuous"/>
      <w:pgSz w:w="12240" w:h="15840" w:code="1"/>
      <w:pgMar w:top="1440" w:right="1440" w:bottom="1440" w:left="1440" w:header="28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26122" w14:textId="77777777" w:rsidR="000119E0" w:rsidRDefault="000119E0" w:rsidP="000119E0">
      <w:pPr>
        <w:spacing w:after="0" w:line="240" w:lineRule="auto"/>
      </w:pPr>
      <w:r>
        <w:separator/>
      </w:r>
    </w:p>
  </w:endnote>
  <w:endnote w:type="continuationSeparator" w:id="0">
    <w:p w14:paraId="1E5E555D" w14:textId="77777777" w:rsidR="000119E0" w:rsidRDefault="000119E0" w:rsidP="00011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AAB5" w14:textId="77777777" w:rsidR="000F7817" w:rsidRPr="003B1B9C" w:rsidRDefault="001E5A96" w:rsidP="00A4343D">
    <w:pPr>
      <w:pStyle w:val="Footer"/>
      <w:rPr>
        <w:lang w:val="en-AU"/>
      </w:rPr>
    </w:pPr>
    <w:r w:rsidRPr="003B1B9C">
      <w:rPr>
        <w:lang w:val="en-AU"/>
      </w:rPr>
      <w:fldChar w:fldCharType="begin"/>
    </w:r>
    <w:r w:rsidRPr="003B1B9C">
      <w:rPr>
        <w:lang w:val="en-AU"/>
      </w:rPr>
      <w:instrText xml:space="preserve"> PAGE   \* MERGEFORMAT </w:instrText>
    </w:r>
    <w:r w:rsidRPr="003B1B9C">
      <w:rPr>
        <w:lang w:val="en-AU"/>
      </w:rPr>
      <w:fldChar w:fldCharType="separate"/>
    </w:r>
    <w:r>
      <w:rPr>
        <w:noProof/>
        <w:lang w:val="en-AU"/>
      </w:rPr>
      <w:t>3</w:t>
    </w:r>
    <w:r w:rsidRPr="003B1B9C">
      <w:rPr>
        <w:noProof/>
        <w:lang w:val="en-AU"/>
      </w:rPr>
      <w:fldChar w:fldCharType="end"/>
    </w:r>
    <w:r>
      <w:rPr>
        <w:noProof/>
        <w:lang w:val="en-AU"/>
      </w:rPr>
      <w:t xml:space="preserve"> </w:t>
    </w:r>
    <w:r>
      <w:rPr>
        <w:noProof/>
        <w:lang w:val="en-AU"/>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70139" w14:textId="77777777" w:rsidR="0078263F" w:rsidRPr="00160CC1" w:rsidRDefault="001E5A96" w:rsidP="007828C6">
    <w:pPr>
      <w:pStyle w:val="Footer"/>
      <w:rPr>
        <w:szCs w:val="20"/>
        <w:lang w:val="en-AU"/>
      </w:rPr>
    </w:pPr>
    <w:r w:rsidRPr="003B1B9C">
      <w:rPr>
        <w:lang w:val="en-AU"/>
      </w:rPr>
      <w:fldChar w:fldCharType="begin"/>
    </w:r>
    <w:r w:rsidRPr="003B1B9C">
      <w:rPr>
        <w:lang w:val="en-AU"/>
      </w:rPr>
      <w:instrText xml:space="preserve"> PAGE   \* MERGEFORMAT </w:instrText>
    </w:r>
    <w:r w:rsidRPr="003B1B9C">
      <w:rPr>
        <w:lang w:val="en-AU"/>
      </w:rPr>
      <w:fldChar w:fldCharType="separate"/>
    </w:r>
    <w:r>
      <w:rPr>
        <w:noProof/>
        <w:lang w:val="en-AU"/>
      </w:rPr>
      <w:t>5</w:t>
    </w:r>
    <w:r w:rsidRPr="003B1B9C">
      <w:rPr>
        <w:noProof/>
        <w:lang w:val="en-AU"/>
      </w:rPr>
      <w:fldChar w:fldCharType="end"/>
    </w:r>
    <w:r>
      <w:rPr>
        <w:noProof/>
        <w:lang w:val="en-AU"/>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50D4" w14:textId="77777777" w:rsidR="00A4343D" w:rsidRPr="00A4343D" w:rsidRDefault="00A4343D" w:rsidP="00A4343D">
    <w:pPr>
      <w:pStyle w:val="Footer"/>
      <w:ind w:left="0"/>
      <w:rPr>
        <w:noProof/>
        <w:sz w:val="16"/>
        <w:szCs w:val="20"/>
        <w:lang w:val="en-AU"/>
      </w:rPr>
    </w:pPr>
    <w:r w:rsidRPr="00A4343D">
      <w:rPr>
        <w:noProof/>
        <w:sz w:val="16"/>
        <w:szCs w:val="20"/>
        <w:lang w:val="en-AU"/>
      </w:rPr>
      <w:t xml:space="preserve">© 2019 Clarivate Analytics. </w:t>
    </w:r>
    <w:r w:rsidRPr="000119E0">
      <w:rPr>
        <w:noProof/>
        <w:sz w:val="16"/>
        <w:szCs w:val="20"/>
        <w:lang w:val="en-AU"/>
      </w:rPr>
      <w:t>CompuMark is a trademark of its respective owner and used herein with permission.</w:t>
    </w:r>
    <w:r>
      <w:rPr>
        <w:noProof/>
        <w:sz w:val="16"/>
        <w:szCs w:val="20"/>
        <w:lang w:val="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D344E" w14:textId="77777777" w:rsidR="000119E0" w:rsidRDefault="000119E0" w:rsidP="000119E0">
      <w:pPr>
        <w:spacing w:after="0" w:line="240" w:lineRule="auto"/>
      </w:pPr>
      <w:r>
        <w:separator/>
      </w:r>
    </w:p>
  </w:footnote>
  <w:footnote w:type="continuationSeparator" w:id="0">
    <w:p w14:paraId="5274362F" w14:textId="77777777" w:rsidR="000119E0" w:rsidRDefault="000119E0" w:rsidP="00011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F2E6F"/>
    <w:multiLevelType w:val="multilevel"/>
    <w:tmpl w:val="55DC2BC4"/>
    <w:styleLink w:val="ListBullets"/>
    <w:lvl w:ilvl="0">
      <w:start w:val="1"/>
      <w:numFmt w:val="bullet"/>
      <w:pStyle w:val="ListBullet"/>
      <w:lvlText w:val="•"/>
      <w:lvlJc w:val="left"/>
      <w:pPr>
        <w:tabs>
          <w:tab w:val="num" w:pos="284"/>
        </w:tabs>
        <w:ind w:left="284" w:hanging="284"/>
      </w:pPr>
      <w:rPr>
        <w:rFonts w:ascii="Calibri" w:hAnsi="Calibri" w:hint="default"/>
      </w:rPr>
    </w:lvl>
    <w:lvl w:ilvl="1">
      <w:start w:val="1"/>
      <w:numFmt w:val="bullet"/>
      <w:lvlText w:val="–"/>
      <w:lvlJc w:val="left"/>
      <w:pPr>
        <w:tabs>
          <w:tab w:val="num" w:pos="567"/>
        </w:tabs>
        <w:ind w:left="567" w:hanging="283"/>
      </w:pPr>
      <w:rPr>
        <w:rFonts w:ascii="Calibri" w:hAnsi="Calibri" w:hint="default"/>
      </w:rPr>
    </w:lvl>
    <w:lvl w:ilvl="2">
      <w:start w:val="1"/>
      <w:numFmt w:val="bullet"/>
      <w:lvlText w:val="•"/>
      <w:lvlJc w:val="left"/>
      <w:pPr>
        <w:tabs>
          <w:tab w:val="num" w:pos="851"/>
        </w:tabs>
        <w:ind w:left="851" w:hanging="284"/>
      </w:pPr>
      <w:rPr>
        <w:rFonts w:ascii="Calibri" w:hAnsi="Calibri" w:hint="default"/>
      </w:rPr>
    </w:lvl>
    <w:lvl w:ilvl="3">
      <w:start w:val="1"/>
      <w:numFmt w:val="none"/>
      <w:lvlText w:val=""/>
      <w:lvlJc w:val="left"/>
      <w:pPr>
        <w:tabs>
          <w:tab w:val="num" w:pos="851"/>
        </w:tabs>
        <w:ind w:left="851" w:hanging="284"/>
      </w:pPr>
      <w:rPr>
        <w:rFonts w:hint="default"/>
      </w:rPr>
    </w:lvl>
    <w:lvl w:ilvl="4">
      <w:start w:val="1"/>
      <w:numFmt w:val="none"/>
      <w:lvlText w:val=""/>
      <w:lvlJc w:val="left"/>
      <w:pPr>
        <w:tabs>
          <w:tab w:val="num" w:pos="851"/>
        </w:tabs>
        <w:ind w:left="851" w:hanging="284"/>
      </w:pPr>
      <w:rPr>
        <w:rFonts w:hint="default"/>
      </w:rPr>
    </w:lvl>
    <w:lvl w:ilvl="5">
      <w:start w:val="1"/>
      <w:numFmt w:val="none"/>
      <w:lvlText w:val=""/>
      <w:lvlJc w:val="left"/>
      <w:pPr>
        <w:tabs>
          <w:tab w:val="num" w:pos="851"/>
        </w:tabs>
        <w:ind w:left="851" w:hanging="284"/>
      </w:pPr>
      <w:rPr>
        <w:rFonts w:hint="default"/>
      </w:rPr>
    </w:lvl>
    <w:lvl w:ilvl="6">
      <w:start w:val="1"/>
      <w:numFmt w:val="none"/>
      <w:lvlText w:val=""/>
      <w:lvlJc w:val="left"/>
      <w:pPr>
        <w:tabs>
          <w:tab w:val="num" w:pos="851"/>
        </w:tabs>
        <w:ind w:left="851" w:hanging="284"/>
      </w:pPr>
      <w:rPr>
        <w:rFonts w:hint="default"/>
      </w:rPr>
    </w:lvl>
    <w:lvl w:ilvl="7">
      <w:start w:val="1"/>
      <w:numFmt w:val="none"/>
      <w:lvlText w:val=""/>
      <w:lvlJc w:val="left"/>
      <w:pPr>
        <w:tabs>
          <w:tab w:val="num" w:pos="851"/>
        </w:tabs>
        <w:ind w:left="851" w:hanging="284"/>
      </w:pPr>
      <w:rPr>
        <w:rFonts w:hint="default"/>
      </w:rPr>
    </w:lvl>
    <w:lvl w:ilvl="8">
      <w:start w:val="1"/>
      <w:numFmt w:val="none"/>
      <w:lvlText w:val=""/>
      <w:lvlJc w:val="left"/>
      <w:pPr>
        <w:tabs>
          <w:tab w:val="num" w:pos="851"/>
        </w:tabs>
        <w:ind w:left="851" w:hanging="284"/>
      </w:pPr>
      <w:rPr>
        <w:rFonts w:hint="default"/>
      </w:rPr>
    </w:lvl>
  </w:abstractNum>
  <w:abstractNum w:abstractNumId="1" w15:restartNumberingAfterBreak="0">
    <w:nsid w:val="37B42653"/>
    <w:multiLevelType w:val="multilevel"/>
    <w:tmpl w:val="55DC2BC4"/>
    <w:numStyleLink w:val="ListBullets"/>
  </w:abstractNum>
  <w:abstractNum w:abstractNumId="2" w15:restartNumberingAfterBreak="0">
    <w:nsid w:val="39616E88"/>
    <w:multiLevelType w:val="hybridMultilevel"/>
    <w:tmpl w:val="35A44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B7601BC"/>
    <w:multiLevelType w:val="hybridMultilevel"/>
    <w:tmpl w:val="8944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E0"/>
    <w:rsid w:val="000119E0"/>
    <w:rsid w:val="00145CE6"/>
    <w:rsid w:val="001476D4"/>
    <w:rsid w:val="001D7223"/>
    <w:rsid w:val="001E5A96"/>
    <w:rsid w:val="001F30C4"/>
    <w:rsid w:val="00296BB8"/>
    <w:rsid w:val="002C4F25"/>
    <w:rsid w:val="003040E2"/>
    <w:rsid w:val="00314016"/>
    <w:rsid w:val="005D53D1"/>
    <w:rsid w:val="00731A53"/>
    <w:rsid w:val="007451FF"/>
    <w:rsid w:val="007F4723"/>
    <w:rsid w:val="0091504B"/>
    <w:rsid w:val="00956B24"/>
    <w:rsid w:val="00967EBB"/>
    <w:rsid w:val="00A4343D"/>
    <w:rsid w:val="00B5453C"/>
    <w:rsid w:val="00B87E0D"/>
    <w:rsid w:val="00BE6274"/>
    <w:rsid w:val="00C021DA"/>
    <w:rsid w:val="00D0442E"/>
    <w:rsid w:val="00D86AA4"/>
    <w:rsid w:val="00F9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688A"/>
  <w15:chartTrackingRefBased/>
  <w15:docId w15:val="{B98384E9-DAC0-4800-8C20-5ECC5138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0" w:qFormat="1"/>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9E0"/>
    <w:pPr>
      <w:spacing w:after="120"/>
    </w:pPr>
    <w:rPr>
      <w:sz w:val="20"/>
    </w:rPr>
  </w:style>
  <w:style w:type="paragraph" w:styleId="Heading1">
    <w:name w:val="heading 1"/>
    <w:basedOn w:val="Normal"/>
    <w:next w:val="Normal"/>
    <w:link w:val="Heading1Char"/>
    <w:uiPriority w:val="9"/>
    <w:qFormat/>
    <w:rsid w:val="00F937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qFormat/>
    <w:rsid w:val="000119E0"/>
    <w:pPr>
      <w:keepNext/>
      <w:keepLines/>
      <w:spacing w:line="216" w:lineRule="auto"/>
      <w:outlineLvl w:val="1"/>
    </w:pPr>
    <w:rPr>
      <w:rFonts w:asciiTheme="majorHAnsi" w:eastAsiaTheme="majorEastAsia" w:hAnsiTheme="majorHAnsi" w:cstheme="majorBidi"/>
      <w:b/>
      <w:bCs/>
      <w:color w:val="000000" w:themeColor="text1"/>
      <w:sz w:val="24"/>
      <w:szCs w:val="26"/>
      <w:lang w:val="en-GB"/>
    </w:rPr>
  </w:style>
  <w:style w:type="paragraph" w:styleId="Heading3">
    <w:name w:val="heading 3"/>
    <w:basedOn w:val="Normal"/>
    <w:next w:val="BodyText"/>
    <w:link w:val="Heading3Char"/>
    <w:uiPriority w:val="9"/>
    <w:qFormat/>
    <w:rsid w:val="000119E0"/>
    <w:pPr>
      <w:keepNext/>
      <w:keepLines/>
      <w:spacing w:line="216" w:lineRule="auto"/>
      <w:outlineLvl w:val="2"/>
    </w:pPr>
    <w:rPr>
      <w:rFonts w:asciiTheme="majorHAnsi" w:eastAsiaTheme="majorEastAsia" w:hAnsiTheme="majorHAnsi" w:cstheme="majorBidi"/>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19E0"/>
    <w:rPr>
      <w:rFonts w:asciiTheme="majorHAnsi" w:eastAsiaTheme="majorEastAsia" w:hAnsiTheme="majorHAnsi" w:cstheme="majorBidi"/>
      <w:b/>
      <w:bCs/>
      <w:color w:val="000000" w:themeColor="text1"/>
      <w:sz w:val="24"/>
      <w:szCs w:val="26"/>
      <w:lang w:val="en-GB"/>
    </w:rPr>
  </w:style>
  <w:style w:type="character" w:customStyle="1" w:styleId="Heading3Char">
    <w:name w:val="Heading 3 Char"/>
    <w:basedOn w:val="DefaultParagraphFont"/>
    <w:link w:val="Heading3"/>
    <w:uiPriority w:val="9"/>
    <w:rsid w:val="000119E0"/>
    <w:rPr>
      <w:rFonts w:asciiTheme="majorHAnsi" w:eastAsiaTheme="majorEastAsia" w:hAnsiTheme="majorHAnsi" w:cstheme="majorBidi"/>
      <w:b/>
      <w:bCs/>
      <w:color w:val="000000" w:themeColor="text1"/>
      <w:sz w:val="20"/>
      <w:lang w:val="en-GB"/>
    </w:rPr>
  </w:style>
  <w:style w:type="paragraph" w:styleId="BodyText">
    <w:name w:val="Body Text"/>
    <w:basedOn w:val="Normal"/>
    <w:link w:val="BodyTextChar"/>
    <w:uiPriority w:val="14"/>
    <w:qFormat/>
    <w:rsid w:val="000119E0"/>
    <w:pPr>
      <w:spacing w:line="240" w:lineRule="auto"/>
    </w:pPr>
    <w:rPr>
      <w:color w:val="000000" w:themeColor="text1"/>
      <w:lang w:val="en-GB"/>
    </w:rPr>
  </w:style>
  <w:style w:type="character" w:customStyle="1" w:styleId="BodyTextChar">
    <w:name w:val="Body Text Char"/>
    <w:basedOn w:val="DefaultParagraphFont"/>
    <w:link w:val="BodyText"/>
    <w:uiPriority w:val="14"/>
    <w:rsid w:val="000119E0"/>
    <w:rPr>
      <w:color w:val="000000" w:themeColor="text1"/>
      <w:sz w:val="20"/>
      <w:lang w:val="en-GB"/>
    </w:rPr>
  </w:style>
  <w:style w:type="paragraph" w:styleId="Title">
    <w:name w:val="Title"/>
    <w:basedOn w:val="Normal"/>
    <w:next w:val="Subtitle"/>
    <w:link w:val="TitleChar"/>
    <w:uiPriority w:val="30"/>
    <w:qFormat/>
    <w:rsid w:val="000119E0"/>
    <w:pPr>
      <w:keepNext/>
      <w:keepLines/>
      <w:spacing w:after="440" w:line="192" w:lineRule="auto"/>
      <w:contextualSpacing/>
    </w:pPr>
    <w:rPr>
      <w:rFonts w:asciiTheme="majorHAnsi" w:eastAsiaTheme="majorEastAsia" w:hAnsiTheme="majorHAnsi" w:cstheme="majorBidi"/>
      <w:b/>
      <w:color w:val="000000" w:themeColor="text1"/>
      <w:sz w:val="80"/>
      <w:szCs w:val="52"/>
      <w:lang w:val="en-GB"/>
    </w:rPr>
  </w:style>
  <w:style w:type="character" w:customStyle="1" w:styleId="TitleChar">
    <w:name w:val="Title Char"/>
    <w:basedOn w:val="DefaultParagraphFont"/>
    <w:link w:val="Title"/>
    <w:uiPriority w:val="30"/>
    <w:rsid w:val="000119E0"/>
    <w:rPr>
      <w:rFonts w:asciiTheme="majorHAnsi" w:eastAsiaTheme="majorEastAsia" w:hAnsiTheme="majorHAnsi" w:cstheme="majorBidi"/>
      <w:b/>
      <w:color w:val="000000" w:themeColor="text1"/>
      <w:sz w:val="80"/>
      <w:szCs w:val="52"/>
      <w:lang w:val="en-GB"/>
    </w:rPr>
  </w:style>
  <w:style w:type="paragraph" w:styleId="Subtitle">
    <w:name w:val="Subtitle"/>
    <w:basedOn w:val="Normal"/>
    <w:next w:val="BodyText"/>
    <w:link w:val="SubtitleChar"/>
    <w:uiPriority w:val="31"/>
    <w:qFormat/>
    <w:rsid w:val="000119E0"/>
    <w:pPr>
      <w:keepNext/>
      <w:keepLines/>
      <w:numPr>
        <w:ilvl w:val="1"/>
      </w:numPr>
      <w:spacing w:after="160" w:line="216" w:lineRule="auto"/>
    </w:pPr>
    <w:rPr>
      <w:rFonts w:asciiTheme="majorHAnsi" w:eastAsiaTheme="majorEastAsia" w:hAnsiTheme="majorHAnsi" w:cstheme="majorBidi"/>
      <w:b/>
      <w:iCs/>
      <w:color w:val="000000" w:themeColor="text1"/>
      <w:sz w:val="40"/>
      <w:szCs w:val="24"/>
      <w:lang w:val="en-GB"/>
    </w:rPr>
  </w:style>
  <w:style w:type="character" w:customStyle="1" w:styleId="SubtitleChar">
    <w:name w:val="Subtitle Char"/>
    <w:basedOn w:val="DefaultParagraphFont"/>
    <w:link w:val="Subtitle"/>
    <w:uiPriority w:val="31"/>
    <w:rsid w:val="000119E0"/>
    <w:rPr>
      <w:rFonts w:asciiTheme="majorHAnsi" w:eastAsiaTheme="majorEastAsia" w:hAnsiTheme="majorHAnsi" w:cstheme="majorBidi"/>
      <w:b/>
      <w:iCs/>
      <w:color w:val="000000" w:themeColor="text1"/>
      <w:sz w:val="40"/>
      <w:szCs w:val="24"/>
      <w:lang w:val="en-GB"/>
    </w:rPr>
  </w:style>
  <w:style w:type="numbering" w:customStyle="1" w:styleId="ListBullets">
    <w:name w:val="__List Bullets"/>
    <w:uiPriority w:val="99"/>
    <w:rsid w:val="000119E0"/>
    <w:pPr>
      <w:numPr>
        <w:numId w:val="1"/>
      </w:numPr>
    </w:pPr>
  </w:style>
  <w:style w:type="table" w:styleId="TableGrid">
    <w:name w:val="Table Grid"/>
    <w:basedOn w:val="TableNormal"/>
    <w:uiPriority w:val="39"/>
    <w:unhideWhenUsed/>
    <w:rsid w:val="000119E0"/>
    <w:pPr>
      <w:spacing w:after="0" w:line="240" w:lineRule="auto"/>
    </w:pPr>
    <w:rPr>
      <w:lang w:val="en-GB"/>
    </w:rPr>
    <w:tblPr>
      <w:tblCellMar>
        <w:left w:w="0" w:type="dxa"/>
        <w:right w:w="0" w:type="dxa"/>
      </w:tblCellMar>
    </w:tblPr>
  </w:style>
  <w:style w:type="paragraph" w:styleId="ListBullet">
    <w:name w:val="List Bullet"/>
    <w:basedOn w:val="BodyText"/>
    <w:uiPriority w:val="15"/>
    <w:qFormat/>
    <w:rsid w:val="000119E0"/>
    <w:pPr>
      <w:numPr>
        <w:numId w:val="2"/>
      </w:numPr>
      <w:contextualSpacing/>
    </w:pPr>
  </w:style>
  <w:style w:type="table" w:customStyle="1" w:styleId="CompuMarkTable">
    <w:name w:val="__CompuMark Table"/>
    <w:basedOn w:val="TableNormal"/>
    <w:uiPriority w:val="99"/>
    <w:rsid w:val="000119E0"/>
    <w:pPr>
      <w:spacing w:after="0" w:line="240" w:lineRule="auto"/>
    </w:pPr>
    <w:rPr>
      <w:sz w:val="20"/>
      <w:lang w:val="en-GB"/>
    </w:rPr>
    <w:tblPr>
      <w:tblBorders>
        <w:insideH w:val="single" w:sz="4" w:space="0" w:color="000000" w:themeColor="text1"/>
      </w:tblBorders>
      <w:tblCellMar>
        <w:top w:w="142" w:type="dxa"/>
        <w:left w:w="0" w:type="dxa"/>
        <w:bottom w:w="142" w:type="dxa"/>
        <w:right w:w="113" w:type="dxa"/>
      </w:tblCellMar>
    </w:tblPr>
    <w:tblStylePr w:type="firstRow">
      <w:tblPr/>
      <w:tcPr>
        <w:tcBorders>
          <w:top w:val="single" w:sz="4" w:space="0" w:color="44546A" w:themeColor="text2"/>
          <w:left w:val="nil"/>
          <w:bottom w:val="nil"/>
          <w:right w:val="nil"/>
          <w:insideH w:val="nil"/>
          <w:insideV w:val="nil"/>
          <w:tl2br w:val="nil"/>
          <w:tr2bl w:val="nil"/>
        </w:tcBorders>
      </w:tcPr>
    </w:tblStylePr>
  </w:style>
  <w:style w:type="paragraph" w:customStyle="1" w:styleId="TableTitle">
    <w:name w:val="Table Title"/>
    <w:basedOn w:val="Normal"/>
    <w:uiPriority w:val="18"/>
    <w:qFormat/>
    <w:rsid w:val="000119E0"/>
    <w:pPr>
      <w:pBdr>
        <w:top w:val="single" w:sz="4" w:space="6" w:color="44546A" w:themeColor="text2"/>
      </w:pBdr>
      <w:spacing w:line="240" w:lineRule="auto"/>
    </w:pPr>
    <w:rPr>
      <w:color w:val="000000" w:themeColor="text1"/>
      <w:lang w:val="en-GB"/>
    </w:rPr>
  </w:style>
  <w:style w:type="paragraph" w:customStyle="1" w:styleId="CoverHeading">
    <w:name w:val="Cover Heading"/>
    <w:basedOn w:val="Normal"/>
    <w:uiPriority w:val="33"/>
    <w:qFormat/>
    <w:rsid w:val="000119E0"/>
    <w:pPr>
      <w:keepNext/>
      <w:keepLines/>
      <w:spacing w:after="300" w:line="216" w:lineRule="auto"/>
    </w:pPr>
    <w:rPr>
      <w:rFonts w:asciiTheme="majorHAnsi" w:hAnsiTheme="majorHAnsi"/>
      <w:b/>
      <w:color w:val="000000" w:themeColor="text1"/>
      <w:lang w:val="en-GB"/>
    </w:rPr>
  </w:style>
  <w:style w:type="paragraph" w:styleId="Header">
    <w:name w:val="header"/>
    <w:basedOn w:val="Normal"/>
    <w:link w:val="HeaderChar"/>
    <w:uiPriority w:val="99"/>
    <w:semiHidden/>
    <w:rsid w:val="000119E0"/>
    <w:pPr>
      <w:spacing w:after="0" w:line="240" w:lineRule="auto"/>
    </w:pPr>
  </w:style>
  <w:style w:type="character" w:customStyle="1" w:styleId="HeaderChar">
    <w:name w:val="Header Char"/>
    <w:basedOn w:val="DefaultParagraphFont"/>
    <w:link w:val="Header"/>
    <w:uiPriority w:val="99"/>
    <w:semiHidden/>
    <w:rsid w:val="000119E0"/>
    <w:rPr>
      <w:sz w:val="20"/>
    </w:rPr>
  </w:style>
  <w:style w:type="paragraph" w:styleId="Footer">
    <w:name w:val="footer"/>
    <w:basedOn w:val="Normal"/>
    <w:link w:val="FooterChar"/>
    <w:uiPriority w:val="99"/>
    <w:rsid w:val="000119E0"/>
    <w:pPr>
      <w:tabs>
        <w:tab w:val="left" w:pos="0"/>
      </w:tabs>
      <w:spacing w:after="0" w:line="240" w:lineRule="auto"/>
      <w:ind w:left="-2381"/>
    </w:pPr>
  </w:style>
  <w:style w:type="character" w:customStyle="1" w:styleId="FooterChar">
    <w:name w:val="Footer Char"/>
    <w:basedOn w:val="DefaultParagraphFont"/>
    <w:link w:val="Footer"/>
    <w:uiPriority w:val="99"/>
    <w:rsid w:val="000119E0"/>
    <w:rPr>
      <w:sz w:val="20"/>
    </w:rPr>
  </w:style>
  <w:style w:type="character" w:styleId="Hyperlink">
    <w:name w:val="Hyperlink"/>
    <w:basedOn w:val="DefaultParagraphFont"/>
    <w:uiPriority w:val="99"/>
    <w:unhideWhenUsed/>
    <w:rsid w:val="000119E0"/>
    <w:rPr>
      <w:b/>
      <w:color w:val="000000" w:themeColor="text1"/>
      <w:u w:val="single"/>
    </w:rPr>
  </w:style>
  <w:style w:type="paragraph" w:customStyle="1" w:styleId="Default">
    <w:name w:val="Default"/>
    <w:rsid w:val="000119E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11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E0"/>
    <w:rPr>
      <w:rFonts w:ascii="Segoe UI" w:hAnsi="Segoe UI" w:cs="Segoe UI"/>
      <w:sz w:val="18"/>
      <w:szCs w:val="18"/>
    </w:rPr>
  </w:style>
  <w:style w:type="paragraph" w:styleId="ListParagraph">
    <w:name w:val="List Paragraph"/>
    <w:basedOn w:val="Normal"/>
    <w:uiPriority w:val="34"/>
    <w:qFormat/>
    <w:rsid w:val="000119E0"/>
    <w:pPr>
      <w:spacing w:after="0" w:line="240" w:lineRule="auto"/>
      <w:ind w:left="720"/>
    </w:pPr>
    <w:rPr>
      <w:rFonts w:ascii="Calibri" w:hAnsi="Calibri" w:cs="Calibri"/>
      <w:sz w:val="22"/>
    </w:rPr>
  </w:style>
  <w:style w:type="character" w:customStyle="1" w:styleId="Heading1Char">
    <w:name w:val="Heading 1 Char"/>
    <w:basedOn w:val="DefaultParagraphFont"/>
    <w:link w:val="Heading1"/>
    <w:uiPriority w:val="9"/>
    <w:rsid w:val="00F937D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7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pumar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riv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1C52EC3754314E903F701FEDB9E77B" ma:contentTypeVersion="13" ma:contentTypeDescription="Create a new document." ma:contentTypeScope="" ma:versionID="5cdd50223c20b82d287e103cd535381c">
  <xsd:schema xmlns:xsd="http://www.w3.org/2001/XMLSchema" xmlns:xs="http://www.w3.org/2001/XMLSchema" xmlns:p="http://schemas.microsoft.com/office/2006/metadata/properties" xmlns:ns3="56fd10b8-a66a-4bc3-90ff-435865a4f2b3" xmlns:ns4="6c2f655e-4fe4-41bc-ac35-81eabaeff16e" targetNamespace="http://schemas.microsoft.com/office/2006/metadata/properties" ma:root="true" ma:fieldsID="b5eeca56fe6d9f49dd1db7a6e8a516c2" ns3:_="" ns4:_="">
    <xsd:import namespace="56fd10b8-a66a-4bc3-90ff-435865a4f2b3"/>
    <xsd:import namespace="6c2f655e-4fe4-41bc-ac35-81eabaeff1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d10b8-a66a-4bc3-90ff-435865a4f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2f655e-4fe4-41bc-ac35-81eabaeff1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4E4B0-0B8F-43FE-9E1F-DC2FDBD85D0A}">
  <ds:schemaRefs>
    <ds:schemaRef ds:uri="http://schemas.microsoft.com/sharepoint/v3/contenttype/forms"/>
  </ds:schemaRefs>
</ds:datastoreItem>
</file>

<file path=customXml/itemProps2.xml><?xml version="1.0" encoding="utf-8"?>
<ds:datastoreItem xmlns:ds="http://schemas.openxmlformats.org/officeDocument/2006/customXml" ds:itemID="{FAB7478E-4C8C-481A-A019-F335F6BC34E3}">
  <ds:schemaRefs>
    <ds:schemaRef ds:uri="http://schemas.openxmlformats.org/package/2006/metadata/core-properties"/>
    <ds:schemaRef ds:uri="http://purl.org/dc/elements/1.1/"/>
    <ds:schemaRef ds:uri="http://www.w3.org/XML/1998/namespace"/>
    <ds:schemaRef ds:uri="6c2f655e-4fe4-41bc-ac35-81eabaeff16e"/>
    <ds:schemaRef ds:uri="http://schemas.microsoft.com/office/2006/metadata/properties"/>
    <ds:schemaRef ds:uri="56fd10b8-a66a-4bc3-90ff-435865a4f2b3"/>
    <ds:schemaRef ds:uri="http://schemas.microsoft.com/office/2006/documentManagement/types"/>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0BDD9DDA-11AF-4278-8671-42E352305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d10b8-a66a-4bc3-90ff-435865a4f2b3"/>
    <ds:schemaRef ds:uri="6c2f655e-4fe4-41bc-ac35-81eabaeff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Volpe, Rachael</dc:creator>
  <cp:keywords/>
  <dc:description/>
  <cp:lastModifiedBy>Volpe, Rachael</cp:lastModifiedBy>
  <cp:revision>21</cp:revision>
  <dcterms:created xsi:type="dcterms:W3CDTF">2019-12-27T16:49:00Z</dcterms:created>
  <dcterms:modified xsi:type="dcterms:W3CDTF">2019-12-27T18:10:00Z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0x0101004C1C52EC3754314E903F701FEDB9E77B</vt:lpwstr>
  </property>
</Properties>
</file>